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E4" w:rsidRPr="00B254DF" w:rsidRDefault="009B7EE4" w:rsidP="009B7EE4">
      <w:pPr>
        <w:bidi/>
        <w:spacing w:after="200" w:line="240" w:lineRule="auto"/>
        <w:jc w:val="center"/>
        <w:rPr>
          <w:rFonts w:ascii="B Lotus" w:eastAsia="Calibri" w:hAnsi="B Lotus" w:cs="B Lotus"/>
          <w:b/>
          <w:bCs/>
          <w:color w:val="0D0D0D" w:themeColor="text1" w:themeTint="F2"/>
          <w:sz w:val="32"/>
          <w:szCs w:val="32"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مقایسه جلوه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softHyphen/>
        <w:t xml:space="preserve">های «صلح و بشردوستی» </w:t>
      </w:r>
    </w:p>
    <w:p w:rsidR="009B7EE4" w:rsidRPr="00B254DF" w:rsidRDefault="009B7EE4" w:rsidP="009B7EE4">
      <w:pPr>
        <w:bidi/>
        <w:spacing w:after="200" w:line="240" w:lineRule="auto"/>
        <w:jc w:val="center"/>
        <w:rPr>
          <w:rFonts w:ascii="B Lotus" w:eastAsia="Calibri" w:hAnsi="B Lotus" w:cs="B Lotus"/>
          <w:b/>
          <w:bCs/>
          <w:color w:val="0D0D0D" w:themeColor="text1" w:themeTint="F2"/>
          <w:sz w:val="32"/>
          <w:szCs w:val="32"/>
          <w:rtl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در حماسه </w:t>
      </w:r>
      <w:r w:rsid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«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بهگودگیتا</w:t>
      </w:r>
      <w:r w:rsid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»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 و </w:t>
      </w:r>
      <w:r w:rsid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«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مثنوی</w:t>
      </w:r>
      <w:r w:rsidR="00572D45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>»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 مولانا</w:t>
      </w:r>
      <w:bookmarkStart w:id="0" w:name="_GoBack"/>
      <w:bookmarkEnd w:id="0"/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 </w:t>
      </w:r>
    </w:p>
    <w:p w:rsidR="00B254DF" w:rsidRDefault="00B254DF" w:rsidP="00B254DF">
      <w:pPr>
        <w:bidi/>
        <w:spacing w:after="0" w:line="240" w:lineRule="auto"/>
        <w:jc w:val="center"/>
        <w:rPr>
          <w:rFonts w:ascii="B Lotus" w:eastAsia="Calibri" w:hAnsi="B Lotus" w:cs="B Lotus" w:hint="c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نوی</w:t>
      </w:r>
      <w:r w:rsidRPr="00B254DF">
        <w:rPr>
          <w:rFonts w:ascii="Times New Roman" w:eastAsia="Calibri" w:hAnsi="Times New Roman"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س</w:t>
      </w: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ند</w:t>
      </w:r>
      <w:r>
        <w:rPr>
          <w:rFonts w:ascii="B Lotus" w:eastAsia="Calibri" w:hAnsi="B Lotus"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ه مسئول: سمیه ارشادی</w:t>
      </w:r>
    </w:p>
    <w:p w:rsidR="00B254DF" w:rsidRPr="00B254DF" w:rsidRDefault="00B254DF" w:rsidP="00B254DF">
      <w:pPr>
        <w:bidi/>
        <w:spacing w:after="0" w:line="240" w:lineRule="auto"/>
        <w:jc w:val="center"/>
        <w:rPr>
          <w:rFonts w:ascii="B Lotus" w:eastAsia="Calibri" w:hAnsi="B Lotus" w:cs="B Lotus"/>
          <w:b/>
          <w:bCs/>
          <w:color w:val="0D0D0D" w:themeColor="text1" w:themeTint="F2"/>
          <w:rtl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rtl/>
          <w:lang w:bidi="fa-IR"/>
        </w:rPr>
        <w:t>دانشجوی دکتری زبان و ادبیا</w:t>
      </w:r>
      <w:r>
        <w:rPr>
          <w:rFonts w:ascii="B Lotus" w:eastAsia="Calibri" w:hAnsi="B Lotus" w:cs="B Lotus" w:hint="cs"/>
          <w:b/>
          <w:bCs/>
          <w:color w:val="0D0D0D" w:themeColor="text1" w:themeTint="F2"/>
          <w:rtl/>
          <w:lang w:bidi="fa-IR"/>
        </w:rPr>
        <w:t>ت فارسی دانشگاه آزاد اسلامی واحد کرج</w:t>
      </w:r>
    </w:p>
    <w:p w:rsidR="00B254DF" w:rsidRPr="00B254DF" w:rsidRDefault="00B254DF" w:rsidP="00B254DF">
      <w:pPr>
        <w:bidi/>
        <w:spacing w:after="0" w:line="240" w:lineRule="auto"/>
        <w:jc w:val="center"/>
        <w:rPr>
          <w:rFonts w:ascii="B Lotus" w:eastAsia="Calibri" w:hAnsi="B Lotus" w:cs="B Lotus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B254DF">
        <w:rPr>
          <w:rFonts w:ascii="B Lotus" w:eastAsia="Calibri" w:hAnsi="B Lotus" w:cs="B Lotus" w:hint="cs"/>
          <w:color w:val="0D0D0D" w:themeColor="text1" w:themeTint="F2"/>
          <w:rtl/>
          <w:lang w:bidi="fa-IR"/>
        </w:rPr>
        <w:t>پست الکترونیکی</w:t>
      </w:r>
      <w:r w:rsidRPr="00B254DF">
        <w:rPr>
          <w:rFonts w:asciiTheme="majorBidi" w:eastAsia="Calibri" w:hAnsiTheme="majorBidi" w:cs="B Lotus"/>
          <w:color w:val="0D0D0D" w:themeColor="text1" w:themeTint="F2"/>
          <w:rtl/>
          <w:lang w:bidi="fa-IR"/>
        </w:rPr>
        <w:t>:</w:t>
      </w:r>
      <w:r w:rsidRPr="00B254DF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B254DF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bidi="fa-IR"/>
        </w:rPr>
        <w:t xml:space="preserve">      ershadi.s92@gmail.com</w:t>
      </w:r>
    </w:p>
    <w:p w:rsidR="00B254DF" w:rsidRDefault="00B254DF" w:rsidP="00B254DF">
      <w:pPr>
        <w:bidi/>
        <w:spacing w:line="240" w:lineRule="auto"/>
        <w:jc w:val="center"/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</w:pPr>
      <w:r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نویسنده همکار: فاطمه بیدقی</w:t>
      </w:r>
      <w:r w:rsidRPr="00B254DF">
        <w:rPr>
          <w:rFonts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</w:p>
    <w:p w:rsidR="00B254DF" w:rsidRPr="00B254DF" w:rsidRDefault="00B254DF" w:rsidP="00B254DF">
      <w:pPr>
        <w:bidi/>
        <w:spacing w:line="240" w:lineRule="auto"/>
        <w:jc w:val="center"/>
        <w:rPr>
          <w:rFonts w:cs="B Lotus"/>
          <w:b/>
          <w:bCs/>
          <w:color w:val="0D0D0D" w:themeColor="text1" w:themeTint="F2"/>
          <w:rtl/>
          <w:lang w:bidi="fa-IR"/>
        </w:rPr>
      </w:pPr>
      <w:r w:rsidRPr="00B254DF">
        <w:rPr>
          <w:rFonts w:cs="B Lotus" w:hint="cs"/>
          <w:b/>
          <w:bCs/>
          <w:color w:val="0D0D0D" w:themeColor="text1" w:themeTint="F2"/>
          <w:rtl/>
          <w:lang w:bidi="fa-IR"/>
        </w:rPr>
        <w:t>کارشناس ارشد زبان و ادبیات فارسی</w:t>
      </w:r>
    </w:p>
    <w:p w:rsidR="00B254DF" w:rsidRPr="00B254DF" w:rsidRDefault="00B254DF" w:rsidP="00B254DF">
      <w:pPr>
        <w:bidi/>
        <w:spacing w:line="240" w:lineRule="auto"/>
        <w:jc w:val="center"/>
        <w:rPr>
          <w:rFonts w:cs="B Lotus"/>
          <w:b/>
          <w:bCs/>
          <w:color w:val="0D0D0D" w:themeColor="text1" w:themeTint="F2"/>
          <w:sz w:val="24"/>
          <w:szCs w:val="24"/>
          <w:lang w:bidi="fa-IR"/>
        </w:rPr>
      </w:pPr>
      <w:r w:rsidRPr="00B254DF">
        <w:rPr>
          <w:rFonts w:cs="B Lotus" w:hint="cs"/>
          <w:color w:val="0D0D0D" w:themeColor="text1" w:themeTint="F2"/>
          <w:rtl/>
          <w:lang w:bidi="fa-IR"/>
        </w:rPr>
        <w:t>پست الکترونیکی</w:t>
      </w:r>
      <w:r w:rsidRPr="00B254DF">
        <w:rPr>
          <w:rFonts w:asciiTheme="majorBidi" w:hAnsiTheme="majorBidi" w:cs="B Lotus"/>
          <w:color w:val="0D0D0D" w:themeColor="text1" w:themeTint="F2"/>
          <w:rtl/>
          <w:lang w:bidi="fa-IR"/>
        </w:rPr>
        <w:t>:</w:t>
      </w:r>
      <w:r w:rsidRPr="00B254DF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B254DF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bidi="fa-IR"/>
        </w:rPr>
        <w:t xml:space="preserve">    </w:t>
      </w:r>
      <w:hyperlink r:id="rId7" w:history="1">
        <w:r w:rsidRPr="00B254DF">
          <w:rPr>
            <w:rStyle w:val="Hyperlink"/>
            <w:rFonts w:asciiTheme="majorBidi" w:hAnsiTheme="majorBidi" w:cstheme="majorBidi"/>
            <w:b/>
            <w:bCs/>
            <w:color w:val="0D0D0D" w:themeColor="text1" w:themeTint="F2"/>
            <w:sz w:val="24"/>
            <w:szCs w:val="24"/>
            <w:u w:val="none"/>
            <w:lang w:bidi="fa-IR"/>
          </w:rPr>
          <w:t>fbeydaghi65@gmail.com</w:t>
        </w:r>
      </w:hyperlink>
    </w:p>
    <w:p w:rsidR="00B254DF" w:rsidRPr="00B254DF" w:rsidRDefault="00B254DF" w:rsidP="009B7EE4">
      <w:pPr>
        <w:tabs>
          <w:tab w:val="left" w:pos="1545"/>
        </w:tabs>
        <w:bidi/>
        <w:spacing w:after="200" w:line="240" w:lineRule="auto"/>
        <w:jc w:val="both"/>
        <w:rPr>
          <w:rFonts w:ascii="B Lotus" w:eastAsia="Calibri" w:hAnsi="B Lotus" w:cs="B Lotus" w:hint="cs"/>
          <w:b/>
          <w:bCs/>
          <w:color w:val="0D0D0D" w:themeColor="text1" w:themeTint="F2"/>
          <w:sz w:val="16"/>
          <w:szCs w:val="16"/>
          <w:rtl/>
          <w:lang w:bidi="fa-IR"/>
        </w:rPr>
      </w:pPr>
    </w:p>
    <w:p w:rsidR="009B7EE4" w:rsidRPr="00B254DF" w:rsidRDefault="009B7EE4" w:rsidP="00B254DF">
      <w:pPr>
        <w:tabs>
          <w:tab w:val="left" w:pos="1545"/>
        </w:tabs>
        <w:bidi/>
        <w:spacing w:after="200" w:line="240" w:lineRule="auto"/>
        <w:jc w:val="both"/>
        <w:rPr>
          <w:rFonts w:ascii="B Lotus" w:eastAsia="Calibri" w:hAnsi="B Lotus"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چکیده</w:t>
      </w:r>
    </w:p>
    <w:p w:rsidR="009B7EE4" w:rsidRPr="00B254DF" w:rsidRDefault="009B7EE4" w:rsidP="00B254DF">
      <w:pPr>
        <w:bidi/>
        <w:spacing w:after="200" w:line="276" w:lineRule="auto"/>
        <w:jc w:val="both"/>
        <w:rPr>
          <w:rFonts w:cs="B Lotus"/>
          <w:color w:val="0D0D0D" w:themeColor="text1" w:themeTint="F2"/>
          <w:sz w:val="24"/>
          <w:szCs w:val="24"/>
          <w:rtl/>
          <w:lang w:bidi="fa-IR"/>
        </w:rPr>
      </w:pPr>
      <w:r w:rsidRPr="00B254DF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t>صلح، بشردوستی و پرهیز از جنگ و خشونت</w:t>
      </w:r>
      <w:r w:rsidRPr="00B254DF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softHyphen/>
        <w:t>طلبی، آرمان مشترک تمامی ادیان بشری است و از این میان، عرفان هندی و اسلامی حامل پیام یکرنگی و پرهیز از قشری</w:t>
      </w:r>
      <w:r w:rsidRPr="00B254DF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softHyphen/>
        <w:t>نگری، با ویژگی گستره جهانی می</w:t>
      </w:r>
      <w:r w:rsidRPr="00B254DF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softHyphen/>
        <w:t>باشند که در آثار مهم متأثر از آن</w:t>
      </w:r>
      <w:r w:rsidRPr="00B254DF">
        <w:rPr>
          <w:rFonts w:cs="B Lotus" w:hint="cs"/>
          <w:color w:val="0D0D0D" w:themeColor="text1" w:themeTint="F2"/>
          <w:sz w:val="24"/>
          <w:szCs w:val="24"/>
          <w:rtl/>
          <w:lang w:bidi="fa-IR"/>
        </w:rPr>
        <w:softHyphen/>
        <w:t>ها تبلوری دوچندان یافته است.</w:t>
      </w:r>
    </w:p>
    <w:p w:rsidR="00B254DF" w:rsidRPr="00B254DF" w:rsidRDefault="009B7EE4" w:rsidP="00B254DF">
      <w:pPr>
        <w:bidi/>
        <w:spacing w:after="0" w:line="276" w:lineRule="auto"/>
        <w:jc w:val="lowKashida"/>
        <w:rPr>
          <w:rFonts w:ascii="B Lotus" w:eastAsia="Calibri" w:hAnsi="B Lotus" w:cs="B Lotus"/>
          <w:color w:val="0D0D0D" w:themeColor="text1" w:themeTint="F2"/>
          <w:sz w:val="24"/>
          <w:szCs w:val="24"/>
          <w:rtl/>
          <w:lang w:bidi="fa-IR"/>
        </w:rPr>
      </w:pP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t xml:space="preserve">در این پژوهش، به مقایسه تطبیقی مفهوم «صلح و بشردوستی» در کتاب «بهگودگیتا» و «مثنوی مولانا» پرداخته‏ شده، تا </w:t>
      </w:r>
      <w:r w:rsidRPr="00B254DF">
        <w:rPr>
          <w:rFonts w:ascii="Times New Roman" w:eastAsia="Calibri" w:hAnsi="Times New Roman" w:cs="B Lotus" w:hint="cs"/>
          <w:color w:val="0D0D0D" w:themeColor="text1" w:themeTint="F2"/>
          <w:sz w:val="24"/>
          <w:szCs w:val="24"/>
          <w:rtl/>
          <w:lang w:bidi="fa-IR"/>
        </w:rPr>
        <w:t>به پرسش</w:t>
      </w:r>
      <w:r w:rsidRPr="00B254DF">
        <w:rPr>
          <w:rFonts w:ascii="Times New Roman" w:eastAsia="Calibri" w:hAnsi="Times New Roman" w:cs="B Lotus" w:hint="cs"/>
          <w:color w:val="0D0D0D" w:themeColor="text1" w:themeTint="F2"/>
          <w:sz w:val="24"/>
          <w:szCs w:val="24"/>
          <w:rtl/>
          <w:lang w:bidi="fa-IR"/>
        </w:rPr>
        <w:softHyphen/>
        <w:t xml:space="preserve"> اساسی این تحقیق که میزان و چگونگی 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t>اشتراکات و افتراقات این مفاهیم در این دو اثر است، دست یافته شود. بررسی رساله گیتا و مثنوی مولانا نشان می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دهد که در عوامل و موانع دستیابی به صلح، شباهت بسیاری در این نوع تعالیم وجود دارد؛ به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واقع در این دو اثر، تعالی و فضایل اخلاقی، لزوم وحدت و یک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رنگی و تعهدات اخلاقی عوامل دستیابی جامعه به آرمان همیشگی صلح، و بیماری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ها و رذایل اخلاقی و شخصیتی، موانع پیش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روی این امر محسوب می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شوند. بررسی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های صورت گرفته نیز حاکی از این مطلب است که هرچند به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دلیل تفاوت در ادیان، افتراقاتی نیز در بخش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هایی از این دو اثر دیده می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شود، اما با این وجود، اشتراکات آن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softHyphen/>
        <w:t>ها به مراتب نمود بیشتری دارد.</w:t>
      </w:r>
    </w:p>
    <w:p w:rsidR="009B7EE4" w:rsidRDefault="009B7EE4" w:rsidP="00B254DF">
      <w:pPr>
        <w:bidi/>
        <w:spacing w:after="0" w:line="276" w:lineRule="auto"/>
        <w:jc w:val="lowKashida"/>
        <w:rPr>
          <w:rFonts w:ascii="B Lotus" w:eastAsia="Calibri" w:hAnsi="B Lotus" w:cs="B Lotus" w:hint="cs"/>
          <w:color w:val="0D0D0D" w:themeColor="text1" w:themeTint="F2"/>
          <w:rtl/>
          <w:lang w:bidi="fa-IR"/>
        </w:rPr>
      </w:pPr>
      <w:r w:rsidRPr="00B254DF">
        <w:rPr>
          <w:rFonts w:ascii="B Lotus" w:eastAsia="Calibri" w:hAnsi="B Lotus" w:cs="B Lotus" w:hint="cs"/>
          <w:b/>
          <w:bCs/>
          <w:color w:val="0D0D0D" w:themeColor="text1" w:themeTint="F2"/>
          <w:sz w:val="24"/>
          <w:szCs w:val="24"/>
          <w:rtl/>
          <w:lang w:bidi="fa-IR"/>
        </w:rPr>
        <w:t>واژگان کلیدی:</w:t>
      </w:r>
      <w:r w:rsidRPr="00B254DF">
        <w:rPr>
          <w:rFonts w:ascii="B Lotus" w:eastAsia="Calibri" w:hAnsi="B Lotus" w:cs="B Lotus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B254DF">
        <w:rPr>
          <w:rFonts w:ascii="B Lotus" w:eastAsia="Calibri" w:hAnsi="B Lotus" w:cs="B Lotus" w:hint="cs"/>
          <w:color w:val="0D0D0D" w:themeColor="text1" w:themeTint="F2"/>
          <w:rtl/>
          <w:lang w:bidi="fa-IR"/>
        </w:rPr>
        <w:t>صلح، بشردوستی، بهگودگیتا، مثنوی، مولانا.</w:t>
      </w:r>
    </w:p>
    <w:p w:rsidR="00B254DF" w:rsidRPr="00B254DF" w:rsidRDefault="00B254DF" w:rsidP="00B254DF">
      <w:pPr>
        <w:bidi/>
        <w:spacing w:after="0" w:line="276" w:lineRule="auto"/>
        <w:jc w:val="lowKashida"/>
        <w:rPr>
          <w:rFonts w:ascii="B Lotus" w:eastAsia="Calibri" w:hAnsi="B Lotus" w:cs="B Lotus"/>
          <w:color w:val="0D0D0D" w:themeColor="text1" w:themeTint="F2"/>
          <w:sz w:val="24"/>
          <w:szCs w:val="24"/>
          <w:rtl/>
          <w:lang w:bidi="fa-IR"/>
        </w:rPr>
      </w:pPr>
    </w:p>
    <w:p w:rsidR="00B254DF" w:rsidRDefault="00B254DF" w:rsidP="00EF0CB5">
      <w:pPr>
        <w:rPr>
          <w:rFonts w:cs="B Lotus" w:hint="cs"/>
          <w:color w:val="0D0D0D" w:themeColor="text1" w:themeTint="F2"/>
          <w:sz w:val="28"/>
          <w:szCs w:val="28"/>
          <w:rtl/>
          <w:lang w:bidi="fa-IR"/>
        </w:rPr>
      </w:pPr>
    </w:p>
    <w:p w:rsidR="00B254DF" w:rsidRDefault="00B254DF" w:rsidP="00EF0CB5">
      <w:pPr>
        <w:rPr>
          <w:rFonts w:cs="B Lotus" w:hint="cs"/>
          <w:color w:val="0D0D0D" w:themeColor="text1" w:themeTint="F2"/>
          <w:sz w:val="28"/>
          <w:szCs w:val="28"/>
          <w:rtl/>
          <w:lang w:bidi="fa-IR"/>
        </w:rPr>
      </w:pPr>
    </w:p>
    <w:p w:rsidR="00EF0CB5" w:rsidRPr="00B254DF" w:rsidRDefault="00EF0CB5" w:rsidP="00B254DF">
      <w:pPr>
        <w:jc w:val="center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B254DF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Comparison of “peace and friendship” in Bhagavad </w:t>
      </w:r>
      <w:proofErr w:type="spellStart"/>
      <w:r w:rsidRPr="00B254DF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gita</w:t>
      </w:r>
      <w:proofErr w:type="spellEnd"/>
      <w:r w:rsidRPr="00B254DF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 and Rumi’s </w:t>
      </w:r>
      <w:proofErr w:type="spellStart"/>
      <w:r w:rsidRPr="00B254DF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Masnavi</w:t>
      </w:r>
      <w:proofErr w:type="spellEnd"/>
    </w:p>
    <w:p w:rsidR="00EF0CB5" w:rsidRPr="00B254DF" w:rsidRDefault="00EF0CB5" w:rsidP="00EF0CB5">
      <w:pPr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</w:p>
    <w:p w:rsidR="00EF0CB5" w:rsidRPr="00B254DF" w:rsidRDefault="00EF0CB5" w:rsidP="00B254DF">
      <w:pPr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B254DF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Abstract</w:t>
      </w:r>
    </w:p>
    <w:p w:rsidR="00EF0CB5" w:rsidRPr="00B254DF" w:rsidRDefault="00EF0CB5" w:rsidP="00B254DF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Peace</w:t>
      </w:r>
      <w:proofErr w:type="gram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,philanthropy,avoiding</w:t>
      </w:r>
      <w:proofErr w:type="spellEnd"/>
      <w:proofErr w:type="gram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war and violence are common aspiration of all human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relligions,however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Indian and Islamic mysticism involve honesty message and deny cortical ideas with global scope which are inspired their important books(Bhagavad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gita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 Rumi’s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Masnavi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).</w:t>
      </w:r>
    </w:p>
    <w:p w:rsidR="00EF0CB5" w:rsidRPr="00B254DF" w:rsidRDefault="00EF0CB5" w:rsidP="00B254DF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 this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research</w:t>
      </w:r>
      <w:proofErr w:type="gram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,there</w:t>
      </w:r>
      <w:proofErr w:type="spellEnd"/>
      <w:proofErr w:type="gram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is a comparative comparison about the concept of “Peace and friendship” in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Bhavagavad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gita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 Rumi’s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Masnavi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order to reach the main similarities and differences of the concept in these 2books.</w:t>
      </w:r>
    </w:p>
    <w:p w:rsidR="00EF0CB5" w:rsidRPr="00B254DF" w:rsidRDefault="00EF0CB5" w:rsidP="00B254DF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Investigation of Gita and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Masnavi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shows that factors and obstacles to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reache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peace in both books had a same definition.</w:t>
      </w:r>
    </w:p>
    <w:p w:rsidR="00EF0CB5" w:rsidRPr="00B254DF" w:rsidRDefault="00EF0CB5" w:rsidP="00B254DF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</w:pP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fact</w:t>
      </w:r>
      <w:proofErr w:type="gram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,excellence</w:t>
      </w:r>
      <w:proofErr w:type="spellEnd"/>
      <w:proofErr w:type="gram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 moral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>virtue,unity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 honesty and moral obligations are the factors to access</w:t>
      </w: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>peace,the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 usual purpose of each society and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>sickness,immoralities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 are the obstacles to advance.</w:t>
      </w:r>
    </w:p>
    <w:p w:rsidR="00EF0CB5" w:rsidRPr="00B254DF" w:rsidRDefault="00EF0CB5" w:rsidP="00B254DF">
      <w:pPr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  <w:lang w:bidi="fa-IR"/>
        </w:rPr>
      </w:pPr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According to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>investigation</w:t>
      </w:r>
      <w:proofErr w:type="gram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>,although</w:t>
      </w:r>
      <w:proofErr w:type="spellEnd"/>
      <w:proofErr w:type="gram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 differences between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>relligions</w:t>
      </w:r>
      <w:proofErr w:type="spellEnd"/>
      <w:r w:rsidRPr="00B254DF">
        <w:rPr>
          <w:rFonts w:asciiTheme="majorBidi" w:hAnsiTheme="majorBidi" w:cstheme="majorBidi"/>
          <w:color w:val="0D0D0D" w:themeColor="text1" w:themeTint="F2"/>
          <w:sz w:val="24"/>
          <w:szCs w:val="24"/>
          <w:lang w:bidi="fa-IR"/>
        </w:rPr>
        <w:t xml:space="preserve"> lead to differences in some parts of books but similarities are much  more significant and</w:t>
      </w:r>
      <w:r w:rsidRPr="00B254DF">
        <w:rPr>
          <w:rFonts w:asciiTheme="majorBidi" w:hAnsiTheme="majorBidi" w:cstheme="majorBidi"/>
          <w:color w:val="0D0D0D" w:themeColor="text1" w:themeTint="F2"/>
          <w:sz w:val="28"/>
          <w:szCs w:val="28"/>
          <w:lang w:bidi="fa-IR"/>
        </w:rPr>
        <w:t xml:space="preserve"> noticeable.</w:t>
      </w:r>
    </w:p>
    <w:p w:rsidR="00EF0CB5" w:rsidRPr="00B254DF" w:rsidRDefault="00EF0CB5" w:rsidP="00EF0CB5">
      <w:pPr>
        <w:rPr>
          <w:rFonts w:asciiTheme="majorBidi" w:hAnsiTheme="majorBidi" w:cstheme="majorBidi"/>
          <w:color w:val="0D0D0D" w:themeColor="text1" w:themeTint="F2"/>
          <w:sz w:val="28"/>
          <w:szCs w:val="28"/>
          <w:lang w:bidi="fa-IR"/>
        </w:rPr>
      </w:pPr>
    </w:p>
    <w:p w:rsidR="00EF0CB5" w:rsidRPr="00B254DF" w:rsidRDefault="00EF0CB5" w:rsidP="00EF0CB5">
      <w:pPr>
        <w:rPr>
          <w:rFonts w:asciiTheme="majorBidi" w:hAnsiTheme="majorBidi" w:cstheme="majorBidi"/>
          <w:color w:val="0D0D0D" w:themeColor="text1" w:themeTint="F2"/>
          <w:rtl/>
          <w:lang w:bidi="fa-IR"/>
        </w:rPr>
      </w:pPr>
      <w:r w:rsidRPr="00B254DF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bidi="fa-IR"/>
        </w:rPr>
        <w:t>Keywords:</w:t>
      </w:r>
      <w:r w:rsidR="00B254DF">
        <w:rPr>
          <w:rFonts w:asciiTheme="majorBidi" w:hAnsiTheme="majorBidi" w:cstheme="majorBidi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B254DF">
        <w:rPr>
          <w:rFonts w:asciiTheme="majorBidi" w:hAnsiTheme="majorBidi" w:cstheme="majorBidi"/>
          <w:color w:val="0D0D0D" w:themeColor="text1" w:themeTint="F2"/>
          <w:lang w:bidi="fa-IR"/>
        </w:rPr>
        <w:t>peace,</w:t>
      </w:r>
      <w:r w:rsidRPr="00B254DF">
        <w:rPr>
          <w:rFonts w:asciiTheme="majorBidi" w:hAnsiTheme="majorBidi" w:cstheme="majorBidi"/>
          <w:color w:val="0D0D0D" w:themeColor="text1" w:themeTint="F2"/>
        </w:rPr>
        <w:t xml:space="preserve"> </w:t>
      </w:r>
      <w:r w:rsidRPr="00B254DF">
        <w:rPr>
          <w:rFonts w:asciiTheme="majorBidi" w:hAnsiTheme="majorBidi" w:cstheme="majorBidi"/>
          <w:color w:val="0D0D0D" w:themeColor="text1" w:themeTint="F2"/>
          <w:lang w:bidi="fa-IR"/>
        </w:rPr>
        <w:t>philanthropy,</w:t>
      </w:r>
      <w:r w:rsidRPr="00B254DF">
        <w:rPr>
          <w:rFonts w:asciiTheme="majorBidi" w:hAnsiTheme="majorBidi" w:cstheme="majorBidi"/>
          <w:color w:val="0D0D0D" w:themeColor="text1" w:themeTint="F2"/>
        </w:rPr>
        <w:t xml:space="preserve"> Bhagavad </w:t>
      </w:r>
      <w:proofErr w:type="spellStart"/>
      <w:r w:rsidRPr="00B254DF">
        <w:rPr>
          <w:rFonts w:asciiTheme="majorBidi" w:hAnsiTheme="majorBidi" w:cstheme="majorBidi"/>
          <w:color w:val="0D0D0D" w:themeColor="text1" w:themeTint="F2"/>
        </w:rPr>
        <w:t>gita</w:t>
      </w:r>
      <w:proofErr w:type="gramStart"/>
      <w:r w:rsidRPr="00B254DF">
        <w:rPr>
          <w:rFonts w:asciiTheme="majorBidi" w:hAnsiTheme="majorBidi" w:cstheme="majorBidi"/>
          <w:color w:val="0D0D0D" w:themeColor="text1" w:themeTint="F2"/>
        </w:rPr>
        <w:t>,Masnavi</w:t>
      </w:r>
      <w:r w:rsidRPr="00B254DF">
        <w:rPr>
          <w:rFonts w:asciiTheme="majorBidi" w:hAnsiTheme="majorBidi" w:cstheme="majorBidi"/>
          <w:color w:val="0D0D0D" w:themeColor="text1" w:themeTint="F2"/>
          <w:lang w:bidi="fa-IR"/>
        </w:rPr>
        <w:t>,Rumi</w:t>
      </w:r>
      <w:proofErr w:type="spellEnd"/>
      <w:proofErr w:type="gramEnd"/>
    </w:p>
    <w:p w:rsidR="00EF0CB5" w:rsidRPr="00B254DF" w:rsidRDefault="00EF0CB5" w:rsidP="00EF0CB5">
      <w:pPr>
        <w:bidi/>
        <w:spacing w:line="240" w:lineRule="auto"/>
        <w:rPr>
          <w:rFonts w:asciiTheme="majorBidi" w:hAnsiTheme="majorBidi" w:cstheme="majorBidi"/>
          <w:color w:val="0D0D0D" w:themeColor="text1" w:themeTint="F2"/>
          <w:sz w:val="28"/>
          <w:szCs w:val="28"/>
          <w:lang w:bidi="fa-IR"/>
        </w:rPr>
      </w:pPr>
    </w:p>
    <w:sectPr w:rsidR="00EF0CB5" w:rsidRPr="00B2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4C" w:rsidRDefault="0045534C" w:rsidP="00EF0CB5">
      <w:pPr>
        <w:spacing w:after="0" w:line="240" w:lineRule="auto"/>
      </w:pPr>
      <w:r>
        <w:separator/>
      </w:r>
    </w:p>
  </w:endnote>
  <w:endnote w:type="continuationSeparator" w:id="0">
    <w:p w:rsidR="0045534C" w:rsidRDefault="0045534C" w:rsidP="00EF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4C" w:rsidRDefault="0045534C" w:rsidP="00EF0CB5">
      <w:pPr>
        <w:spacing w:after="0" w:line="240" w:lineRule="auto"/>
      </w:pPr>
      <w:r>
        <w:separator/>
      </w:r>
    </w:p>
  </w:footnote>
  <w:footnote w:type="continuationSeparator" w:id="0">
    <w:p w:rsidR="0045534C" w:rsidRDefault="0045534C" w:rsidP="00EF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E4"/>
    <w:rsid w:val="002932A9"/>
    <w:rsid w:val="003E5F67"/>
    <w:rsid w:val="0045534C"/>
    <w:rsid w:val="00572D45"/>
    <w:rsid w:val="009B7EE4"/>
    <w:rsid w:val="00B254DF"/>
    <w:rsid w:val="00E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E4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C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B5"/>
  </w:style>
  <w:style w:type="paragraph" w:styleId="Footer">
    <w:name w:val="footer"/>
    <w:basedOn w:val="Normal"/>
    <w:link w:val="FooterChar"/>
    <w:uiPriority w:val="99"/>
    <w:unhideWhenUsed/>
    <w:rsid w:val="00EF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E4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C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B5"/>
  </w:style>
  <w:style w:type="paragraph" w:styleId="Footer">
    <w:name w:val="footer"/>
    <w:basedOn w:val="Normal"/>
    <w:link w:val="FooterChar"/>
    <w:uiPriority w:val="99"/>
    <w:unhideWhenUsed/>
    <w:rsid w:val="00EF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beydaghi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vale</cp:lastModifiedBy>
  <cp:revision>5</cp:revision>
  <dcterms:created xsi:type="dcterms:W3CDTF">2017-01-30T17:14:00Z</dcterms:created>
  <dcterms:modified xsi:type="dcterms:W3CDTF">2017-03-10T13:30:00Z</dcterms:modified>
</cp:coreProperties>
</file>