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9" w:rsidRPr="00E85AC2" w:rsidRDefault="001819D9" w:rsidP="00931FC2">
      <w:pPr>
        <w:jc w:val="both"/>
        <w:rPr>
          <w:rFonts w:asciiTheme="minorBidi" w:hAnsiTheme="minorBidi"/>
          <w:b/>
          <w:bCs/>
        </w:rPr>
      </w:pPr>
      <w:r w:rsidRPr="00E85AC2">
        <w:rPr>
          <w:rFonts w:asciiTheme="minorBidi" w:hAnsiTheme="minorBidi"/>
          <w:b/>
          <w:bCs/>
        </w:rPr>
        <w:t xml:space="preserve">The Role of Healthcare Workers in Implementing Peace </w:t>
      </w:r>
    </w:p>
    <w:p w:rsidR="001819D9" w:rsidRPr="00E85AC2" w:rsidRDefault="001819D9" w:rsidP="00931FC2">
      <w:pPr>
        <w:jc w:val="both"/>
        <w:rPr>
          <w:rFonts w:asciiTheme="minorBidi" w:hAnsiTheme="minorBidi"/>
        </w:rPr>
      </w:pPr>
    </w:p>
    <w:p w:rsidR="00E85AC2" w:rsidRDefault="00494E75" w:rsidP="00931FC2">
      <w:pPr>
        <w:jc w:val="both"/>
        <w:rPr>
          <w:rFonts w:asciiTheme="minorBidi" w:hAnsiTheme="minorBidi"/>
        </w:rPr>
      </w:pPr>
      <w:r w:rsidRPr="00E85AC2">
        <w:rPr>
          <w:rFonts w:asciiTheme="minorBidi" w:hAnsiTheme="minorBidi"/>
        </w:rPr>
        <w:t>One of today’s global challenge</w:t>
      </w:r>
      <w:r w:rsidR="006411F4" w:rsidRPr="00E85AC2">
        <w:rPr>
          <w:rFonts w:asciiTheme="minorBidi" w:hAnsiTheme="minorBidi"/>
        </w:rPr>
        <w:t>s</w:t>
      </w:r>
      <w:r w:rsidRPr="00E85AC2">
        <w:rPr>
          <w:rFonts w:asciiTheme="minorBidi" w:hAnsiTheme="minorBidi"/>
        </w:rPr>
        <w:t xml:space="preserve"> is health inequalities between regions and countries. </w:t>
      </w:r>
      <w:r w:rsidR="006126D4" w:rsidRPr="00E85AC2">
        <w:rPr>
          <w:rFonts w:asciiTheme="minorBidi" w:hAnsiTheme="minorBidi"/>
        </w:rPr>
        <w:t xml:space="preserve"> As our time has been one of the most violent era in the history. </w:t>
      </w:r>
      <w:r w:rsidRPr="00E85AC2">
        <w:rPr>
          <w:rFonts w:asciiTheme="minorBidi" w:hAnsiTheme="minorBidi"/>
        </w:rPr>
        <w:t>Health maintenance needs better coordination among multiple actors</w:t>
      </w:r>
      <w:r w:rsidR="00256CAF" w:rsidRPr="00E85AC2">
        <w:rPr>
          <w:rFonts w:asciiTheme="minorBidi" w:hAnsiTheme="minorBidi"/>
        </w:rPr>
        <w:t>.</w:t>
      </w:r>
      <w:r w:rsidR="006C4F19" w:rsidRPr="00E85AC2">
        <w:rPr>
          <w:rFonts w:asciiTheme="minorBidi" w:hAnsiTheme="minorBidi"/>
        </w:rPr>
        <w:t xml:space="preserve"> </w:t>
      </w:r>
      <w:r w:rsidRPr="00E85AC2">
        <w:rPr>
          <w:rFonts w:asciiTheme="minorBidi" w:hAnsiTheme="minorBidi"/>
        </w:rPr>
        <w:t>T</w:t>
      </w:r>
      <w:r w:rsidR="006C4F19" w:rsidRPr="00E85AC2">
        <w:rPr>
          <w:rFonts w:asciiTheme="minorBidi" w:hAnsiTheme="minorBidi"/>
        </w:rPr>
        <w:t xml:space="preserve">he term global health diplomacy has </w:t>
      </w:r>
      <w:r w:rsidR="00256CAF" w:rsidRPr="00E85AC2">
        <w:rPr>
          <w:rFonts w:asciiTheme="minorBidi" w:hAnsiTheme="minorBidi"/>
        </w:rPr>
        <w:t xml:space="preserve">appeared </w:t>
      </w:r>
      <w:r w:rsidR="006C4F19" w:rsidRPr="00E85AC2">
        <w:rPr>
          <w:rFonts w:asciiTheme="minorBidi" w:hAnsiTheme="minorBidi"/>
        </w:rPr>
        <w:t xml:space="preserve">to shape and manage the global policy for </w:t>
      </w:r>
      <w:r w:rsidR="0098586C" w:rsidRPr="00E85AC2">
        <w:rPr>
          <w:rFonts w:asciiTheme="minorBidi" w:hAnsiTheme="minorBidi"/>
        </w:rPr>
        <w:t>health. It</w:t>
      </w:r>
      <w:r w:rsidR="006C4F19" w:rsidRPr="00E85AC2">
        <w:rPr>
          <w:rFonts w:asciiTheme="minorBidi" w:hAnsiTheme="minorBidi"/>
        </w:rPr>
        <w:t xml:space="preserve"> can move both health and peace agendas forward to </w:t>
      </w:r>
      <w:r w:rsidR="0098586C" w:rsidRPr="00E85AC2">
        <w:rPr>
          <w:rFonts w:asciiTheme="minorBidi" w:hAnsiTheme="minorBidi"/>
        </w:rPr>
        <w:t xml:space="preserve">solve </w:t>
      </w:r>
      <w:r w:rsidR="006C4F19" w:rsidRPr="00E85AC2">
        <w:rPr>
          <w:rFonts w:asciiTheme="minorBidi" w:hAnsiTheme="minorBidi"/>
        </w:rPr>
        <w:t>common structural challenges that they face</w:t>
      </w:r>
      <w:r w:rsidR="006126D4" w:rsidRPr="00E85AC2">
        <w:rPr>
          <w:rFonts w:asciiTheme="minorBidi" w:hAnsiTheme="minorBidi"/>
        </w:rPr>
        <w:t xml:space="preserve"> </w:t>
      </w:r>
      <w:r w:rsidR="006C4F19" w:rsidRPr="00E85AC2">
        <w:rPr>
          <w:rFonts w:asciiTheme="minorBidi" w:hAnsiTheme="minorBidi"/>
        </w:rPr>
        <w:fldChar w:fldCharType="begin"/>
      </w:r>
      <w:r w:rsidR="006C4F19" w:rsidRPr="00E85AC2">
        <w:rPr>
          <w:rFonts w:asciiTheme="minorBidi" w:hAnsiTheme="minorBidi"/>
        </w:rPr>
        <w:instrText xml:space="preserve"> ADDIN EN.CITE &lt;EndNote&gt;&lt;Cite&gt;&lt;Author&gt;Kickbusch&lt;/Author&gt;&lt;Year&gt;2011&lt;/Year&gt;&lt;RecNum&gt;1137&lt;/RecNum&gt;&lt;DisplayText&gt;(1)&lt;/DisplayText&gt;&lt;record&gt;&lt;rec-number&gt;1137&lt;/rec-number&gt;&lt;foreign-keys&gt;&lt;key app="EN" db-id="2rwfesswwttdamezwf6paap65rdzv0w9aa0z" timestamp="1479804680"&gt;1137&lt;/key&gt;&lt;/foreign-keys&gt;&lt;ref-type name="Journal Article"&gt;17&lt;/ref-type&gt;&lt;contributors&gt;&lt;authors&gt;&lt;author&gt;Kickbusch, Ilona&lt;/author&gt;&lt;author&gt;Buss, Paulo&lt;/author&gt;&lt;/authors&gt;&lt;/contributors&gt;&lt;titles&gt;&lt;title&gt;Global Health Diplomacy and Peace&lt;/title&gt;&lt;secondary-title&gt;Infectious Disease Clinics of North America&lt;/secondary-title&gt;&lt;/titles&gt;&lt;periodical&gt;&lt;full-title&gt;Infectious Disease Clinics of North America&lt;/full-title&gt;&lt;/periodical&gt;&lt;pages&gt;601-610&lt;/pages&gt;&lt;volume&gt;25&lt;/volume&gt;&lt;number&gt;3&lt;/number&gt;&lt;keywords&gt;&lt;keyword&gt;Global health&lt;/keyword&gt;&lt;keyword&gt;Diplomacy&lt;/keyword&gt;&lt;keyword&gt;Peace&lt;/keyword&gt;&lt;keyword&gt;Foreign policy&lt;/keyword&gt;&lt;/keywords&gt;&lt;dates&gt;&lt;year&gt;2011&lt;/year&gt;&lt;pub-dates&gt;&lt;date&gt;9//&lt;/date&gt;&lt;/pub-dates&gt;&lt;/dates&gt;&lt;isbn&gt;0891-5520&lt;/isbn&gt;&lt;urls&gt;&lt;related-urls&gt;&lt;url&gt;http://www.sciencedirect.com/science/article/pii/S0891552011000419&lt;/url&gt;&lt;/related-urls&gt;&lt;/urls&gt;&lt;electronic-resource-num&gt;http://dx.doi.org/10.1016/j.idc.2011.05.006&lt;/electronic-resource-num&gt;&lt;/record&gt;&lt;/Cite&gt;&lt;/EndNote&gt;</w:instrText>
      </w:r>
      <w:r w:rsidR="006C4F19" w:rsidRPr="00E85AC2">
        <w:rPr>
          <w:rFonts w:asciiTheme="minorBidi" w:hAnsiTheme="minorBidi"/>
        </w:rPr>
        <w:fldChar w:fldCharType="separate"/>
      </w:r>
      <w:r w:rsidR="006C4F19" w:rsidRPr="00E85AC2">
        <w:rPr>
          <w:rFonts w:asciiTheme="minorBidi" w:hAnsiTheme="minorBidi"/>
          <w:noProof/>
        </w:rPr>
        <w:t>(1)</w:t>
      </w:r>
      <w:r w:rsidR="006C4F19" w:rsidRPr="00E85AC2">
        <w:rPr>
          <w:rFonts w:asciiTheme="minorBidi" w:hAnsiTheme="minorBidi"/>
        </w:rPr>
        <w:fldChar w:fldCharType="end"/>
      </w:r>
      <w:r w:rsidR="006126D4" w:rsidRPr="00E85AC2">
        <w:rPr>
          <w:rFonts w:asciiTheme="minorBidi" w:hAnsiTheme="minorBidi"/>
        </w:rPr>
        <w:t xml:space="preserve">. </w:t>
      </w:r>
      <w:r w:rsidR="006C4F19" w:rsidRPr="00E85AC2">
        <w:rPr>
          <w:rFonts w:asciiTheme="minorBidi" w:hAnsiTheme="minorBidi"/>
        </w:rPr>
        <w:t xml:space="preserve">Health and peace are closely linked.  </w:t>
      </w:r>
      <w:r w:rsidR="003A5D6E" w:rsidRPr="00E85AC2">
        <w:rPr>
          <w:rFonts w:asciiTheme="minorBidi" w:hAnsiTheme="minorBidi"/>
        </w:rPr>
        <w:t>War</w:t>
      </w:r>
      <w:r w:rsidR="006C4F19" w:rsidRPr="00E85AC2">
        <w:rPr>
          <w:rFonts w:asciiTheme="minorBidi" w:hAnsiTheme="minorBidi"/>
        </w:rPr>
        <w:t xml:space="preserve"> has several </w:t>
      </w:r>
      <w:r w:rsidR="00561571" w:rsidRPr="00E85AC2">
        <w:rPr>
          <w:rFonts w:asciiTheme="minorBidi" w:hAnsiTheme="minorBidi"/>
        </w:rPr>
        <w:t xml:space="preserve">direct and </w:t>
      </w:r>
      <w:r w:rsidR="006C4F19" w:rsidRPr="00E85AC2">
        <w:rPr>
          <w:rFonts w:asciiTheme="minorBidi" w:hAnsiTheme="minorBidi"/>
        </w:rPr>
        <w:t>indirect consequences</w:t>
      </w:r>
      <w:r w:rsidR="003A5D6E" w:rsidRPr="00E85AC2">
        <w:rPr>
          <w:rFonts w:asciiTheme="minorBidi" w:hAnsiTheme="minorBidi"/>
        </w:rPr>
        <w:t xml:space="preserve"> on health. It includes</w:t>
      </w:r>
      <w:r w:rsidR="006C4F19" w:rsidRPr="00E85AC2">
        <w:rPr>
          <w:rFonts w:asciiTheme="minorBidi" w:hAnsiTheme="minorBidi"/>
        </w:rPr>
        <w:t xml:space="preserve"> physical and psychological adverse health effects, </w:t>
      </w:r>
      <w:r w:rsidR="003A5D6E" w:rsidRPr="00E85AC2">
        <w:rPr>
          <w:rFonts w:asciiTheme="minorBidi" w:hAnsiTheme="minorBidi"/>
        </w:rPr>
        <w:t xml:space="preserve">epidemics of </w:t>
      </w:r>
      <w:r w:rsidR="006C4F19" w:rsidRPr="00E85AC2">
        <w:rPr>
          <w:rFonts w:asciiTheme="minorBidi" w:hAnsiTheme="minorBidi"/>
        </w:rPr>
        <w:t xml:space="preserve">infectious diseases, </w:t>
      </w:r>
      <w:r w:rsidR="003A5D6E" w:rsidRPr="00E85AC2">
        <w:rPr>
          <w:rFonts w:asciiTheme="minorBidi" w:hAnsiTheme="minorBidi"/>
        </w:rPr>
        <w:t>psychological</w:t>
      </w:r>
      <w:r w:rsidR="006C4F19" w:rsidRPr="00E85AC2">
        <w:rPr>
          <w:rFonts w:asciiTheme="minorBidi" w:hAnsiTheme="minorBidi"/>
        </w:rPr>
        <w:t xml:space="preserve"> disorders</w:t>
      </w:r>
      <w:r w:rsidR="003A5D6E" w:rsidRPr="00E85AC2">
        <w:rPr>
          <w:rFonts w:asciiTheme="minorBidi" w:hAnsiTheme="minorBidi"/>
        </w:rPr>
        <w:t xml:space="preserve"> </w:t>
      </w:r>
      <w:r w:rsidR="006C4F19" w:rsidRPr="00E85AC2">
        <w:rPr>
          <w:rFonts w:asciiTheme="minorBidi" w:hAnsiTheme="minorBidi"/>
        </w:rPr>
        <w:t>and weakening of human rights.</w:t>
      </w:r>
      <w:r w:rsidR="003A5D6E" w:rsidRPr="00E85AC2">
        <w:rPr>
          <w:rFonts w:asciiTheme="minorBidi" w:hAnsiTheme="minorBidi"/>
        </w:rPr>
        <w:t xml:space="preserve"> </w:t>
      </w:r>
      <w:r w:rsidR="006C4F19" w:rsidRPr="00E85AC2">
        <w:rPr>
          <w:rFonts w:asciiTheme="minorBidi" w:hAnsiTheme="minorBidi"/>
        </w:rPr>
        <w:t xml:space="preserve"> </w:t>
      </w:r>
      <w:r w:rsidR="003A5D6E" w:rsidRPr="00E85AC2">
        <w:rPr>
          <w:rFonts w:asciiTheme="minorBidi" w:hAnsiTheme="minorBidi"/>
        </w:rPr>
        <w:t>P</w:t>
      </w:r>
      <w:r w:rsidR="006C4F19" w:rsidRPr="00E85AC2">
        <w:rPr>
          <w:rFonts w:asciiTheme="minorBidi" w:hAnsiTheme="minorBidi"/>
        </w:rPr>
        <w:t>eace</w:t>
      </w:r>
      <w:r w:rsidR="003A5D6E" w:rsidRPr="00E85AC2">
        <w:rPr>
          <w:rFonts w:asciiTheme="minorBidi" w:hAnsiTheme="minorBidi"/>
        </w:rPr>
        <w:t xml:space="preserve"> can be promoted</w:t>
      </w:r>
      <w:r w:rsidR="006C4F19" w:rsidRPr="00E85AC2">
        <w:rPr>
          <w:rFonts w:asciiTheme="minorBidi" w:hAnsiTheme="minorBidi"/>
        </w:rPr>
        <w:t xml:space="preserve"> in many ways and facilitate </w:t>
      </w:r>
      <w:r w:rsidR="003A5D6E" w:rsidRPr="00E85AC2">
        <w:rPr>
          <w:rFonts w:asciiTheme="minorBidi" w:hAnsiTheme="minorBidi"/>
        </w:rPr>
        <w:t>it</w:t>
      </w:r>
      <w:r w:rsidR="006C4F19" w:rsidRPr="00E85AC2">
        <w:rPr>
          <w:rFonts w:asciiTheme="minorBidi" w:hAnsiTheme="minorBidi"/>
        </w:rPr>
        <w:t xml:space="preserve"> by demonstrating </w:t>
      </w:r>
      <w:r w:rsidR="003A5D6E" w:rsidRPr="00E85AC2">
        <w:rPr>
          <w:rFonts w:asciiTheme="minorBidi" w:hAnsiTheme="minorBidi"/>
        </w:rPr>
        <w:t>human values and</w:t>
      </w:r>
      <w:r w:rsidR="006C4F19" w:rsidRPr="00E85AC2">
        <w:rPr>
          <w:rFonts w:asciiTheme="minorBidi" w:hAnsiTheme="minorBidi"/>
        </w:rPr>
        <w:t xml:space="preserve"> vision</w:t>
      </w:r>
      <w:r w:rsidR="003A5D6E" w:rsidRPr="00E85AC2">
        <w:rPr>
          <w:rFonts w:asciiTheme="minorBidi" w:hAnsiTheme="minorBidi"/>
        </w:rPr>
        <w:t xml:space="preserve"> </w:t>
      </w:r>
      <w:r w:rsidR="006C4F19" w:rsidRPr="00E85AC2">
        <w:rPr>
          <w:rFonts w:asciiTheme="minorBidi" w:hAnsiTheme="minorBidi"/>
        </w:rPr>
        <w:fldChar w:fldCharType="begin"/>
      </w:r>
      <w:r w:rsidR="003A5D6E" w:rsidRPr="00E85AC2">
        <w:rPr>
          <w:rFonts w:asciiTheme="minorBidi" w:hAnsiTheme="minorBidi"/>
        </w:rPr>
        <w:instrText xml:space="preserve"> ADDIN EN.CITE &lt;EndNote&gt;&lt;Cite&gt;&lt;Author&gt;Levy&lt;/Author&gt;&lt;Year&gt;2002&lt;/Year&gt;&lt;RecNum&gt;1138&lt;/RecNum&gt;&lt;DisplayText&gt;(2, 3)&lt;/DisplayText&gt;&lt;record&gt;&lt;rec-number&gt;1138&lt;/rec-number&gt;&lt;foreign-keys&gt;&lt;key app="EN" db-id="2rwfesswwttdamezwf6paap65rdzv0w9aa0z" timestamp="1479880859"&gt;1138&lt;/key&gt;&lt;/foreign-keys&gt;&lt;ref-type name="Journal Article"&gt;17&lt;/ref-type&gt;&lt;contributors&gt;&lt;authors&gt;&lt;author&gt;Levy, Barry S&lt;/author&gt;&lt;/authors&gt;&lt;/contributors&gt;&lt;titles&gt;&lt;title&gt;Health and peace&lt;/title&gt;&lt;secondary-title&gt;Croatian medical journal&lt;/secondary-title&gt;&lt;/titles&gt;&lt;periodical&gt;&lt;full-title&gt;Croatian medical journal&lt;/full-title&gt;&lt;/periodical&gt;&lt;pages&gt;114-116&lt;/pages&gt;&lt;volume&gt;43&lt;/volume&gt;&lt;number&gt;2&lt;/number&gt;&lt;dates&gt;&lt;year&gt;2002&lt;/year&gt;&lt;/dates&gt;&lt;urls&gt;&lt;/urls&gt;&lt;/record&gt;&lt;/Cite&gt;&lt;Cite&gt;&lt;Author&gt;BERNARD&lt;/Author&gt;&lt;Year&gt;1989&lt;/Year&gt;&lt;RecNum&gt;1136&lt;/RecNum&gt;&lt;record&gt;&lt;rec-number&gt;1136&lt;/rec-number&gt;&lt;foreign-keys&gt;&lt;key app="EN" db-id="2rwfesswwttdamezwf6paap65rdzv0w9aa0z" timestamp="1479803012"&gt;1136&lt;/key&gt;&lt;/foreign-keys&gt;&lt;ref-type name="Journal Article"&gt;17&lt;/ref-type&gt;&lt;contributors&gt;&lt;authors&gt;&lt;author&gt;BERNARD, KENNETH W&lt;/author&gt;&lt;author&gt;GRAITCER, PHILIP L&lt;/author&gt;&lt;author&gt;VAN DER VLUGT, THERESA&lt;/author&gt;&lt;author&gt;MORAN, JOHN S&lt;/author&gt;&lt;author&gt;PULLEY, KARL M&lt;/author&gt;&lt;/authors&gt;&lt;/contributors&gt;&lt;titles&gt;&lt;title&gt;Epidemiological surveillance in Peace Corps volunteers: a model for monitoring health in temporary residents of developing countries&lt;/title&gt;&lt;secondary-title&gt;International journal of epidemiology&lt;/secondary-title&gt;&lt;/titles&gt;&lt;periodical&gt;&lt;full-title&gt;International journal of epidemiology&lt;/full-title&gt;&lt;/periodical&gt;&lt;pages&gt;220-226&lt;/pages&gt;&lt;volume&gt;18&lt;/volume&gt;&lt;number&gt;1&lt;/number&gt;&lt;dates&gt;&lt;year&gt;1989&lt;/year&gt;&lt;/dates&gt;&lt;isbn&gt;0300-5771&lt;/isbn&gt;&lt;urls&gt;&lt;/urls&gt;&lt;/record&gt;&lt;/Cite&gt;&lt;/EndNote&gt;</w:instrText>
      </w:r>
      <w:r w:rsidR="006C4F19" w:rsidRPr="00E85AC2">
        <w:rPr>
          <w:rFonts w:asciiTheme="minorBidi" w:hAnsiTheme="minorBidi"/>
        </w:rPr>
        <w:fldChar w:fldCharType="separate"/>
      </w:r>
      <w:r w:rsidR="003A5D6E" w:rsidRPr="00E85AC2">
        <w:rPr>
          <w:rFonts w:asciiTheme="minorBidi" w:hAnsiTheme="minorBidi"/>
          <w:noProof/>
        </w:rPr>
        <w:t>(2, 3)</w:t>
      </w:r>
      <w:r w:rsidR="006C4F19" w:rsidRPr="00E85AC2">
        <w:rPr>
          <w:rFonts w:asciiTheme="minorBidi" w:hAnsiTheme="minorBidi"/>
        </w:rPr>
        <w:fldChar w:fldCharType="end"/>
      </w:r>
      <w:r w:rsidR="003A5D6E" w:rsidRPr="00E85AC2">
        <w:rPr>
          <w:rFonts w:asciiTheme="minorBidi" w:hAnsiTheme="minorBidi"/>
        </w:rPr>
        <w:t xml:space="preserve">. </w:t>
      </w:r>
      <w:r w:rsidR="00931FC2" w:rsidRPr="00E85AC2">
        <w:rPr>
          <w:rFonts w:asciiTheme="minorBidi" w:hAnsiTheme="minorBidi"/>
        </w:rPr>
        <w:t>Health</w:t>
      </w:r>
      <w:r w:rsidR="003A5D6E" w:rsidRPr="00E85AC2">
        <w:rPr>
          <w:rFonts w:asciiTheme="minorBidi" w:hAnsiTheme="minorBidi"/>
        </w:rPr>
        <w:t xml:space="preserve"> work can initiate and spread peace through conflict management</w:t>
      </w:r>
      <w:r w:rsidR="00931FC2" w:rsidRPr="00E85AC2">
        <w:rPr>
          <w:rFonts w:asciiTheme="minorBidi" w:hAnsiTheme="minorBidi"/>
        </w:rPr>
        <w:t xml:space="preserve">. The possible kwon ways are: </w:t>
      </w:r>
      <w:r w:rsidR="00F130DD" w:rsidRPr="00E85AC2">
        <w:rPr>
          <w:rFonts w:asciiTheme="minorBidi" w:hAnsiTheme="minorBidi"/>
        </w:rPr>
        <w:t>solidarity with indigenous health workers, strengthening of the social fabric, public dissent and restriction of the destructiveness of war</w:t>
      </w:r>
      <w:r w:rsidR="00931FC2" w:rsidRPr="00E85AC2">
        <w:rPr>
          <w:rFonts w:asciiTheme="minorBidi" w:hAnsiTheme="minorBidi"/>
        </w:rPr>
        <w:t xml:space="preserve"> </w:t>
      </w:r>
      <w:r w:rsidR="00931FC2" w:rsidRPr="00E85AC2">
        <w:rPr>
          <w:rFonts w:asciiTheme="minorBidi" w:hAnsiTheme="minorBidi"/>
        </w:rPr>
        <w:fldChar w:fldCharType="begin"/>
      </w:r>
      <w:r w:rsidR="00931FC2" w:rsidRPr="00E85AC2">
        <w:rPr>
          <w:rFonts w:asciiTheme="minorBidi" w:hAnsiTheme="minorBidi"/>
        </w:rPr>
        <w:instrText xml:space="preserve"> ADDIN EN.CITE &lt;EndNote&gt;&lt;Cite&gt;&lt;Author&gt;MacQueen&lt;/Author&gt;&lt;Year&gt;2000&lt;/Year&gt;&lt;RecNum&gt;1135&lt;/RecNum&gt;&lt;DisplayText&gt;(4)&lt;/DisplayText&gt;&lt;record&gt;&lt;rec-number&gt;1135&lt;/rec-number&gt;&lt;foreign-keys&gt;&lt;key app="EN" db-id="2rwfesswwttdamezwf6paap65rdzv0w9aa0z" timestamp="1479802750"&gt;1135&lt;/key&gt;&lt;/foreign-keys&gt;&lt;ref-type name="Journal Article"&gt;17&lt;/ref-type&gt;&lt;contributors&gt;&lt;authors&gt;&lt;author&gt;MacQueen, Graeme&lt;/author&gt;&lt;author&gt;Santa-Barbara, Joanna&lt;/author&gt;&lt;/authors&gt;&lt;/contributors&gt;&lt;titles&gt;&lt;title&gt;Peace building through health initiatives&lt;/title&gt;&lt;secondary-title&gt;bmj&lt;/secondary-title&gt;&lt;/titles&gt;&lt;periodical&gt;&lt;full-title&gt;BMJ&lt;/full-title&gt;&lt;/periodical&gt;&lt;pages&gt;293-296&lt;/pages&gt;&lt;volume&gt;321&lt;/volume&gt;&lt;number&gt;7256&lt;/number&gt;&lt;dates&gt;&lt;year&gt;2000&lt;/year&gt;&lt;/dates&gt;&lt;isbn&gt;0959-8138&lt;/isbn&gt;&lt;urls&gt;&lt;/urls&gt;&lt;/record&gt;&lt;/Cite&gt;&lt;/EndNote&gt;</w:instrText>
      </w:r>
      <w:r w:rsidR="00931FC2" w:rsidRPr="00E85AC2">
        <w:rPr>
          <w:rFonts w:asciiTheme="minorBidi" w:hAnsiTheme="minorBidi"/>
        </w:rPr>
        <w:fldChar w:fldCharType="separate"/>
      </w:r>
      <w:r w:rsidR="00931FC2" w:rsidRPr="00E85AC2">
        <w:rPr>
          <w:rFonts w:asciiTheme="minorBidi" w:hAnsiTheme="minorBidi"/>
          <w:noProof/>
        </w:rPr>
        <w:t>(4)</w:t>
      </w:r>
      <w:r w:rsidR="00931FC2" w:rsidRPr="00E85AC2">
        <w:rPr>
          <w:rFonts w:asciiTheme="minorBidi" w:hAnsiTheme="minorBidi"/>
        </w:rPr>
        <w:fldChar w:fldCharType="end"/>
      </w:r>
      <w:r w:rsidR="00931FC2" w:rsidRPr="00E85AC2">
        <w:rPr>
          <w:rFonts w:asciiTheme="minorBidi" w:hAnsiTheme="minorBidi"/>
        </w:rPr>
        <w:t xml:space="preserve">. </w:t>
      </w:r>
      <w:r w:rsidR="00F130DD" w:rsidRPr="00E85AC2">
        <w:rPr>
          <w:rFonts w:asciiTheme="minorBidi" w:hAnsiTheme="minorBidi"/>
        </w:rPr>
        <w:t>One of the factors which might help maintain peace and therefore health is peoples believes. Religion is one of the factors which can help that. A factor which can be a way to connect people has now become a reason for war. But if once in the history it was possible to maintain peace and make one of the largest empires of the world it is a possible task today as well.</w:t>
      </w:r>
    </w:p>
    <w:p w:rsidR="008A0DD3" w:rsidRDefault="00E85AC2" w:rsidP="00931FC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Key Words: Peace, Health, Health Care Workers, Health Diplomacy, Violence</w:t>
      </w:r>
      <w:r w:rsidR="00F130DD" w:rsidRPr="00E85AC2">
        <w:rPr>
          <w:rFonts w:asciiTheme="minorBidi" w:hAnsiTheme="minorBidi"/>
        </w:rPr>
        <w:t xml:space="preserve"> </w:t>
      </w:r>
    </w:p>
    <w:p w:rsidR="00E85AC2" w:rsidRDefault="00E85AC2" w:rsidP="00E85AC2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Authors: </w:t>
      </w:r>
      <w:proofErr w:type="spellStart"/>
      <w:r>
        <w:rPr>
          <w:rFonts w:asciiTheme="minorBidi" w:hAnsiTheme="minorBidi"/>
        </w:rPr>
        <w:t>Alireza</w:t>
      </w:r>
      <w:proofErr w:type="spellEnd"/>
      <w:r>
        <w:rPr>
          <w:rFonts w:asciiTheme="minorBidi" w:hAnsiTheme="minorBidi"/>
        </w:rPr>
        <w:t xml:space="preserve"> Salehi</w:t>
      </w:r>
      <w:r w:rsidRPr="00E85AC2">
        <w:rPr>
          <w:rFonts w:asciiTheme="minorBidi" w:hAnsiTheme="minorBidi"/>
          <w:vertAlign w:val="superscript"/>
        </w:rPr>
        <w:t>1</w:t>
      </w:r>
      <w:r>
        <w:rPr>
          <w:rFonts w:asciiTheme="minorBidi" w:hAnsiTheme="minorBidi"/>
        </w:rPr>
        <w:t xml:space="preserve"> MD, MPH, PhD, </w:t>
      </w:r>
      <w:proofErr w:type="spellStart"/>
      <w:r>
        <w:rPr>
          <w:rFonts w:asciiTheme="minorBidi" w:hAnsiTheme="minorBidi"/>
        </w:rPr>
        <w:t>Ayda</w:t>
      </w:r>
      <w:proofErr w:type="spellEnd"/>
      <w:r>
        <w:rPr>
          <w:rFonts w:asciiTheme="minorBidi" w:hAnsiTheme="minorBidi"/>
        </w:rPr>
        <w:t xml:space="preserve"> Hosseinkhani</w:t>
      </w:r>
      <w:r w:rsidRPr="00E85AC2">
        <w:rPr>
          <w:rFonts w:asciiTheme="minorBidi" w:hAnsiTheme="minorBidi"/>
          <w:vertAlign w:val="superscript"/>
        </w:rPr>
        <w:t>1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PharmD</w:t>
      </w:r>
      <w:proofErr w:type="spellEnd"/>
      <w:r>
        <w:rPr>
          <w:rFonts w:asciiTheme="minorBidi" w:hAnsiTheme="minorBidi"/>
        </w:rPr>
        <w:t>, PhD</w:t>
      </w:r>
    </w:p>
    <w:p w:rsidR="00C0281D" w:rsidRDefault="00C0281D" w:rsidP="00E85AC2">
      <w:pPr>
        <w:jc w:val="both"/>
        <w:rPr>
          <w:rFonts w:asciiTheme="minorBidi" w:hAnsiTheme="minorBidi"/>
        </w:rPr>
      </w:pPr>
    </w:p>
    <w:p w:rsidR="00C0281D" w:rsidRDefault="00C0281D" w:rsidP="00C0281D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Research Center for Traditional Medicine and History of Medicine</w:t>
      </w:r>
    </w:p>
    <w:p w:rsidR="00C0281D" w:rsidRDefault="00C0281D" w:rsidP="00C0281D">
      <w:pPr>
        <w:pStyle w:val="ListParagraph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Shiraz University of Medical Sciences</w:t>
      </w:r>
    </w:p>
    <w:p w:rsidR="006C4F19" w:rsidRPr="00E85AC2" w:rsidRDefault="00C0281D" w:rsidP="00C0281D">
      <w:pPr>
        <w:pStyle w:val="ListParagraph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Shiraz, Iran</w:t>
      </w:r>
      <w:bookmarkStart w:id="0" w:name="_GoBack"/>
      <w:bookmarkEnd w:id="0"/>
    </w:p>
    <w:p w:rsidR="006C4F19" w:rsidRPr="00E85AC2" w:rsidRDefault="006C4F19">
      <w:pPr>
        <w:rPr>
          <w:rFonts w:asciiTheme="minorBidi" w:hAnsiTheme="minorBidi"/>
        </w:rPr>
      </w:pPr>
    </w:p>
    <w:p w:rsidR="006C4F19" w:rsidRPr="00E85AC2" w:rsidRDefault="003A5D6E">
      <w:pPr>
        <w:rPr>
          <w:rFonts w:asciiTheme="minorBidi" w:hAnsiTheme="minorBidi"/>
          <w:b/>
          <w:bCs/>
        </w:rPr>
      </w:pPr>
      <w:r w:rsidRPr="00E85AC2">
        <w:rPr>
          <w:rFonts w:asciiTheme="minorBidi" w:hAnsiTheme="minorBidi"/>
          <w:b/>
          <w:bCs/>
        </w:rPr>
        <w:t xml:space="preserve">References: </w:t>
      </w:r>
    </w:p>
    <w:p w:rsidR="00931FC2" w:rsidRPr="00E85AC2" w:rsidRDefault="006C4F19" w:rsidP="00931FC2">
      <w:pPr>
        <w:pStyle w:val="EndNoteBibliography"/>
        <w:spacing w:after="0"/>
        <w:rPr>
          <w:rFonts w:asciiTheme="minorBidi" w:hAnsiTheme="minorBidi" w:cstheme="minorBidi"/>
        </w:rPr>
      </w:pPr>
      <w:r w:rsidRPr="00E85AC2">
        <w:rPr>
          <w:rFonts w:asciiTheme="minorBidi" w:hAnsiTheme="minorBidi" w:cstheme="minorBidi"/>
        </w:rPr>
        <w:fldChar w:fldCharType="begin"/>
      </w:r>
      <w:r w:rsidRPr="00E85AC2">
        <w:rPr>
          <w:rFonts w:asciiTheme="minorBidi" w:hAnsiTheme="minorBidi" w:cstheme="minorBidi"/>
        </w:rPr>
        <w:instrText xml:space="preserve"> ADDIN EN.REFLIST </w:instrText>
      </w:r>
      <w:r w:rsidRPr="00E85AC2">
        <w:rPr>
          <w:rFonts w:asciiTheme="minorBidi" w:hAnsiTheme="minorBidi" w:cstheme="minorBidi"/>
        </w:rPr>
        <w:fldChar w:fldCharType="separate"/>
      </w:r>
      <w:r w:rsidR="00931FC2" w:rsidRPr="00E85AC2">
        <w:rPr>
          <w:rFonts w:asciiTheme="minorBidi" w:hAnsiTheme="minorBidi" w:cstheme="minorBidi"/>
        </w:rPr>
        <w:t>1.</w:t>
      </w:r>
      <w:r w:rsidR="00931FC2" w:rsidRPr="00E85AC2">
        <w:rPr>
          <w:rFonts w:asciiTheme="minorBidi" w:hAnsiTheme="minorBidi" w:cstheme="minorBidi"/>
        </w:rPr>
        <w:tab/>
        <w:t xml:space="preserve">Kickbusch I, Buss P. Global Health Diplomacy and Peace. Infectious Disease Clinics of North America. 2011;25(3):601-10. doi: </w:t>
      </w:r>
      <w:hyperlink r:id="rId5" w:history="1">
        <w:r w:rsidR="00931FC2" w:rsidRPr="00E85AC2">
          <w:rPr>
            <w:rStyle w:val="Hyperlink"/>
            <w:rFonts w:asciiTheme="minorBidi" w:hAnsiTheme="minorBidi" w:cstheme="minorBidi"/>
          </w:rPr>
          <w:t>http://dx.doi.org/10.1016/j.idc.2011.05.006</w:t>
        </w:r>
      </w:hyperlink>
      <w:r w:rsidR="00931FC2" w:rsidRPr="00E85AC2">
        <w:rPr>
          <w:rFonts w:asciiTheme="minorBidi" w:hAnsiTheme="minorBidi" w:cstheme="minorBidi"/>
        </w:rPr>
        <w:t>.</w:t>
      </w:r>
    </w:p>
    <w:p w:rsidR="00931FC2" w:rsidRPr="00E85AC2" w:rsidRDefault="00931FC2" w:rsidP="00931FC2">
      <w:pPr>
        <w:pStyle w:val="EndNoteBibliography"/>
        <w:spacing w:after="0"/>
        <w:rPr>
          <w:rFonts w:asciiTheme="minorBidi" w:hAnsiTheme="minorBidi" w:cstheme="minorBidi"/>
        </w:rPr>
      </w:pPr>
      <w:r w:rsidRPr="00E85AC2">
        <w:rPr>
          <w:rFonts w:asciiTheme="minorBidi" w:hAnsiTheme="minorBidi" w:cstheme="minorBidi"/>
        </w:rPr>
        <w:t>2.</w:t>
      </w:r>
      <w:r w:rsidRPr="00E85AC2">
        <w:rPr>
          <w:rFonts w:asciiTheme="minorBidi" w:hAnsiTheme="minorBidi" w:cstheme="minorBidi"/>
        </w:rPr>
        <w:tab/>
        <w:t>Levy BS. Health and peace. Croatian medical journal. 2002;43(2):114-6.</w:t>
      </w:r>
    </w:p>
    <w:p w:rsidR="00931FC2" w:rsidRPr="00E85AC2" w:rsidRDefault="00931FC2" w:rsidP="00931FC2">
      <w:pPr>
        <w:pStyle w:val="EndNoteBibliography"/>
        <w:spacing w:after="0"/>
        <w:rPr>
          <w:rFonts w:asciiTheme="minorBidi" w:hAnsiTheme="minorBidi" w:cstheme="minorBidi"/>
        </w:rPr>
      </w:pPr>
      <w:r w:rsidRPr="00E85AC2">
        <w:rPr>
          <w:rFonts w:asciiTheme="minorBidi" w:hAnsiTheme="minorBidi" w:cstheme="minorBidi"/>
        </w:rPr>
        <w:t>3.</w:t>
      </w:r>
      <w:r w:rsidRPr="00E85AC2">
        <w:rPr>
          <w:rFonts w:asciiTheme="minorBidi" w:hAnsiTheme="minorBidi" w:cstheme="minorBidi"/>
        </w:rPr>
        <w:tab/>
        <w:t>BERNARD KW, GRAITCER PL, VAN DER VLUGT T, MORAN JS, PULLEY KM. Epidemiological surveillance in Peace Corps volunteers: a model for monitoring health in temporary residents of developing countries. International journal of epidemiology. 1989;18(1):220-6.</w:t>
      </w:r>
    </w:p>
    <w:p w:rsidR="00931FC2" w:rsidRPr="00E85AC2" w:rsidRDefault="00931FC2" w:rsidP="00931FC2">
      <w:pPr>
        <w:pStyle w:val="EndNoteBibliography"/>
        <w:rPr>
          <w:rFonts w:asciiTheme="minorBidi" w:hAnsiTheme="minorBidi" w:cstheme="minorBidi"/>
        </w:rPr>
      </w:pPr>
      <w:r w:rsidRPr="00E85AC2">
        <w:rPr>
          <w:rFonts w:asciiTheme="minorBidi" w:hAnsiTheme="minorBidi" w:cstheme="minorBidi"/>
        </w:rPr>
        <w:t>4.</w:t>
      </w:r>
      <w:r w:rsidRPr="00E85AC2">
        <w:rPr>
          <w:rFonts w:asciiTheme="minorBidi" w:hAnsiTheme="minorBidi" w:cstheme="minorBidi"/>
        </w:rPr>
        <w:tab/>
        <w:t>MacQueen G, Santa-Barbara J. Peace building through health initiatives. bmj. 2000;321(7256):293-6.</w:t>
      </w:r>
    </w:p>
    <w:p w:rsidR="00A82B84" w:rsidRPr="00E85AC2" w:rsidRDefault="006C4F19" w:rsidP="00931FC2">
      <w:pPr>
        <w:rPr>
          <w:rFonts w:asciiTheme="minorBidi" w:hAnsiTheme="minorBidi"/>
        </w:rPr>
      </w:pPr>
      <w:r w:rsidRPr="00E85AC2">
        <w:rPr>
          <w:rFonts w:asciiTheme="minorBidi" w:hAnsiTheme="minorBidi"/>
        </w:rPr>
        <w:fldChar w:fldCharType="end"/>
      </w:r>
    </w:p>
    <w:sectPr w:rsidR="00A82B84" w:rsidRPr="00E85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3788"/>
    <w:multiLevelType w:val="hybridMultilevel"/>
    <w:tmpl w:val="C214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3D1F"/>
    <w:multiLevelType w:val="hybridMultilevel"/>
    <w:tmpl w:val="12524BC0"/>
    <w:lvl w:ilvl="0" w:tplc="84FE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0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8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D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24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B25EA6"/>
    <w:multiLevelType w:val="hybridMultilevel"/>
    <w:tmpl w:val="C010BD0E"/>
    <w:lvl w:ilvl="0" w:tplc="5E6EF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899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2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093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C4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43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87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4FB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03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wfesswwttdamezwf6paap65rdzv0w9aa0z&quot;&gt;final end note&lt;record-ids&gt;&lt;item&gt;1135&lt;/item&gt;&lt;item&gt;1136&lt;/item&gt;&lt;item&gt;1137&lt;/item&gt;&lt;item&gt;1138&lt;/item&gt;&lt;/record-ids&gt;&lt;/item&gt;&lt;/Libraries&gt;"/>
  </w:docVars>
  <w:rsids>
    <w:rsidRoot w:val="006C4F19"/>
    <w:rsid w:val="001819D9"/>
    <w:rsid w:val="00256CAF"/>
    <w:rsid w:val="003A5D6E"/>
    <w:rsid w:val="00494E75"/>
    <w:rsid w:val="00561571"/>
    <w:rsid w:val="006126D4"/>
    <w:rsid w:val="006411F4"/>
    <w:rsid w:val="006C4F19"/>
    <w:rsid w:val="008A0DD3"/>
    <w:rsid w:val="00931FC2"/>
    <w:rsid w:val="0098586C"/>
    <w:rsid w:val="00A82B84"/>
    <w:rsid w:val="00AF14E3"/>
    <w:rsid w:val="00C0281D"/>
    <w:rsid w:val="00DD0846"/>
    <w:rsid w:val="00E85AC2"/>
    <w:rsid w:val="00F130DD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AC87D6-72E9-4E03-A99D-75516C66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6C4F1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4F1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C4F1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C4F19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C4F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idc.2011.05.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</dc:creator>
  <cp:keywords/>
  <dc:description/>
  <cp:lastModifiedBy>All User</cp:lastModifiedBy>
  <cp:revision>2</cp:revision>
  <dcterms:created xsi:type="dcterms:W3CDTF">2017-01-22T06:00:00Z</dcterms:created>
  <dcterms:modified xsi:type="dcterms:W3CDTF">2017-01-22T06:00:00Z</dcterms:modified>
</cp:coreProperties>
</file>