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bidi w:val="0"/>
        <w:spacing w:line="276" w:lineRule="auto"/>
        <w:jc w:val="right"/>
        <w:rPr>
          <w:rFonts w:ascii="Calibri" w:eastAsia="Calibri" w:hAnsi="Calibri" w:cs="B Lotus"/>
          <w:b/>
          <w:bCs/>
          <w:sz w:val="40"/>
          <w:szCs w:val="40"/>
        </w:rPr>
      </w:pPr>
      <w:r w:rsidRPr="00594919">
        <w:rPr>
          <w:rFonts w:ascii="Calibri" w:eastAsia="Calibri" w:hAnsi="Calibri" w:cs="B Lotus"/>
          <w:b/>
          <w:bCs/>
          <w:sz w:val="40"/>
          <w:szCs w:val="40"/>
          <w:rtl/>
        </w:rPr>
        <w:t>"</w:t>
      </w:r>
      <w:r w:rsidRPr="00594919">
        <w:rPr>
          <w:rFonts w:ascii="Calibri" w:eastAsia="Calibri" w:hAnsi="Calibri" w:cs="B Lotus"/>
          <w:b/>
          <w:bCs/>
          <w:sz w:val="32"/>
          <w:szCs w:val="32"/>
          <w:rtl/>
        </w:rPr>
        <w:t xml:space="preserve">نقش تاریخی </w:t>
      </w:r>
      <w:r w:rsidRPr="00594919">
        <w:rPr>
          <w:rFonts w:ascii="Calibri" w:eastAsia="Calibri" w:hAnsi="Calibri" w:cs="B Lotus" w:hint="cs"/>
          <w:b/>
          <w:bCs/>
          <w:sz w:val="32"/>
          <w:szCs w:val="32"/>
          <w:rtl/>
        </w:rPr>
        <w:t xml:space="preserve">فهم کتاب مقدّس </w:t>
      </w:r>
      <w:r w:rsidRPr="00594919">
        <w:rPr>
          <w:rFonts w:ascii="Calibri" w:eastAsia="Calibri" w:hAnsi="Calibri" w:cs="B Lotus"/>
          <w:b/>
          <w:bCs/>
          <w:sz w:val="32"/>
          <w:szCs w:val="32"/>
          <w:rtl/>
        </w:rPr>
        <w:t xml:space="preserve">در بروز یا کاهش خشونت </w:t>
      </w:r>
      <w:r w:rsidRPr="00594919">
        <w:rPr>
          <w:rFonts w:ascii="Calibri" w:eastAsia="Calibri" w:hAnsi="Calibri" w:cs="B Lotus"/>
          <w:b/>
          <w:bCs/>
          <w:sz w:val="40"/>
          <w:szCs w:val="40"/>
          <w:rtl/>
        </w:rPr>
        <w:t>"</w:t>
      </w:r>
      <w:r w:rsidRPr="00594919">
        <w:rPr>
          <w:rFonts w:ascii="Calibri" w:eastAsia="Calibri" w:hAnsi="Calibri" w:cs="B Lotus" w:hint="cs"/>
          <w:b/>
          <w:bCs/>
          <w:sz w:val="40"/>
          <w:szCs w:val="40"/>
          <w:rtl/>
        </w:rPr>
        <w:t xml:space="preserve">  </w:t>
      </w:r>
      <w:r w:rsidRPr="00594919">
        <w:rPr>
          <w:rFonts w:ascii="Calibri" w:eastAsia="Calibri" w:hAnsi="Calibri" w:cs="B Lotus"/>
          <w:b/>
          <w:bCs/>
          <w:sz w:val="40"/>
          <w:szCs w:val="40"/>
        </w:rPr>
        <w:t xml:space="preserve">  </w:t>
      </w:r>
    </w:p>
    <w:p w:rsidR="00594919" w:rsidRPr="00594919" w:rsidRDefault="00594919" w:rsidP="00594919">
      <w:pPr>
        <w:bidi w:val="0"/>
        <w:spacing w:line="276" w:lineRule="auto"/>
        <w:jc w:val="right"/>
        <w:rPr>
          <w:rFonts w:ascii="Calibri" w:eastAsia="Calibri" w:hAnsi="Calibri" w:cs="B Lotus"/>
          <w:b/>
          <w:bCs/>
          <w:sz w:val="40"/>
          <w:szCs w:val="40"/>
          <w:rtl/>
        </w:rPr>
      </w:pPr>
    </w:p>
    <w:p w:rsidR="00594919" w:rsidRPr="00594919" w:rsidRDefault="00594919" w:rsidP="00594919">
      <w:pPr>
        <w:bidi w:val="0"/>
        <w:spacing w:line="276" w:lineRule="auto"/>
        <w:jc w:val="center"/>
        <w:rPr>
          <w:rFonts w:ascii="Calibri" w:eastAsia="Calibri" w:hAnsi="Calibri" w:cs="B Lotus"/>
          <w:b/>
          <w:bCs/>
          <w:rtl/>
        </w:rPr>
      </w:pPr>
      <w:r w:rsidRPr="00594919">
        <w:rPr>
          <w:rFonts w:ascii="Calibri" w:eastAsia="Calibri" w:hAnsi="Calibri" w:cs="B Lotus" w:hint="cs"/>
          <w:b/>
          <w:bCs/>
          <w:rtl/>
        </w:rPr>
        <w:t>حمیده امیریزدانی</w:t>
      </w:r>
    </w:p>
    <w:p w:rsidR="00594919" w:rsidRPr="00594919" w:rsidRDefault="00594919" w:rsidP="00594919">
      <w:pPr>
        <w:bidi w:val="0"/>
        <w:spacing w:line="276" w:lineRule="auto"/>
        <w:jc w:val="center"/>
        <w:rPr>
          <w:rFonts w:ascii="Calibri" w:eastAsia="Calibri" w:hAnsi="Calibri" w:cs="B Lotus"/>
          <w:rtl/>
        </w:rPr>
      </w:pPr>
      <w:r w:rsidRPr="00594919">
        <w:rPr>
          <w:rFonts w:ascii="Calibri" w:eastAsia="Calibri" w:hAnsi="Calibri" w:cs="B Lotus" w:hint="cs"/>
          <w:rtl/>
        </w:rPr>
        <w:t>دانشجوی دکتری مطالعات تطبیقی ادیان(گرایش الهیات مسیحی) دانشگاه ادیان و مذاهب قم</w:t>
      </w:r>
    </w:p>
    <w:p w:rsidR="00594919" w:rsidRPr="00594919" w:rsidRDefault="00594919" w:rsidP="00594919">
      <w:pPr>
        <w:bidi w:val="0"/>
        <w:spacing w:line="276" w:lineRule="auto"/>
        <w:jc w:val="center"/>
        <w:rPr>
          <w:rFonts w:ascii="Calibri" w:eastAsia="Calibri" w:hAnsi="Calibri" w:cs="B Lotus"/>
          <w:rtl/>
        </w:rPr>
      </w:pPr>
      <w:r w:rsidRPr="00594919">
        <w:rPr>
          <w:rFonts w:ascii="Calibri" w:eastAsia="Calibri" w:hAnsi="Calibri" w:cs="B Lotus"/>
        </w:rPr>
        <w:t>amiryazdanihamideh@gmail.com</w:t>
      </w:r>
    </w:p>
    <w:p w:rsidR="00594919" w:rsidRPr="00594919" w:rsidRDefault="00594919" w:rsidP="00594919">
      <w:pPr>
        <w:bidi w:val="0"/>
        <w:spacing w:line="276" w:lineRule="auto"/>
        <w:jc w:val="center"/>
        <w:rPr>
          <w:rFonts w:ascii="Calibri" w:eastAsia="Calibri" w:hAnsi="Calibri" w:cs="B Lotus"/>
          <w:rtl/>
        </w:rPr>
      </w:pPr>
      <w:r w:rsidRPr="00594919">
        <w:rPr>
          <w:rFonts w:ascii="Calibri" w:eastAsia="Calibri" w:hAnsi="Calibri" w:cs="B Lotus" w:hint="cs"/>
          <w:b/>
          <w:bCs/>
          <w:rtl/>
        </w:rPr>
        <w:t>مهراب صادق نیا</w:t>
      </w:r>
    </w:p>
    <w:p w:rsidR="00594919" w:rsidRPr="00594919" w:rsidRDefault="00594919" w:rsidP="00594919">
      <w:pPr>
        <w:bidi w:val="0"/>
        <w:spacing w:line="276" w:lineRule="auto"/>
        <w:jc w:val="center"/>
        <w:rPr>
          <w:rFonts w:ascii="Calibri" w:eastAsia="Calibri" w:hAnsi="Calibri" w:cs="B Lotus"/>
        </w:rPr>
      </w:pPr>
      <w:r w:rsidRPr="00594919">
        <w:rPr>
          <w:rFonts w:ascii="Calibri" w:eastAsia="Calibri" w:hAnsi="Calibri" w:cs="B Lotus" w:hint="cs"/>
          <w:rtl/>
        </w:rPr>
        <w:t>استادیاردانشگاه ادیان و مذاهب قم</w:t>
      </w:r>
    </w:p>
    <w:p w:rsidR="00594919" w:rsidRPr="00594919" w:rsidRDefault="00594919" w:rsidP="00594919">
      <w:pPr>
        <w:bidi w:val="0"/>
        <w:spacing w:line="276" w:lineRule="auto"/>
        <w:jc w:val="center"/>
        <w:rPr>
          <w:rFonts w:ascii="Calibri" w:eastAsia="Calibri" w:hAnsi="Calibri" w:cs="B Lotus"/>
          <w:b/>
          <w:bCs/>
          <w:rtl/>
        </w:rPr>
      </w:pPr>
      <w:r w:rsidRPr="00594919">
        <w:rPr>
          <w:rFonts w:ascii="Calibri" w:eastAsia="Calibri" w:hAnsi="Calibri" w:cs="B Lotus"/>
        </w:rPr>
        <w:t>sadeghniamehrab@gmail.com</w:t>
      </w:r>
    </w:p>
    <w:p w:rsidR="00594919" w:rsidRPr="00594919" w:rsidRDefault="00594919" w:rsidP="00594919">
      <w:pPr>
        <w:bidi w:val="0"/>
        <w:spacing w:line="276" w:lineRule="auto"/>
        <w:jc w:val="center"/>
        <w:rPr>
          <w:rFonts w:ascii="Calibri" w:eastAsia="Calibri" w:hAnsi="Calibri" w:cs="B Lotus"/>
          <w:b/>
          <w:bCs/>
          <w:rtl/>
        </w:rPr>
      </w:pPr>
      <w:r w:rsidRPr="00594919">
        <w:rPr>
          <w:rFonts w:ascii="Calibri" w:eastAsia="Calibri" w:hAnsi="Calibri" w:cs="B Lotus" w:hint="cs"/>
          <w:b/>
          <w:bCs/>
          <w:rtl/>
        </w:rPr>
        <w:t>احمدرضا مفتاح</w:t>
      </w:r>
    </w:p>
    <w:p w:rsidR="00594919" w:rsidRPr="00594919" w:rsidRDefault="00594919" w:rsidP="00594919">
      <w:pPr>
        <w:bidi w:val="0"/>
        <w:spacing w:line="276" w:lineRule="auto"/>
        <w:jc w:val="center"/>
        <w:rPr>
          <w:rFonts w:ascii="Calibri" w:eastAsia="Calibri" w:hAnsi="Calibri" w:cs="B Lotus"/>
          <w:rtl/>
        </w:rPr>
      </w:pPr>
      <w:r w:rsidRPr="00594919">
        <w:rPr>
          <w:rFonts w:ascii="Calibri" w:eastAsia="Calibri" w:hAnsi="Calibri" w:cs="B Lotus" w:hint="cs"/>
          <w:rtl/>
        </w:rPr>
        <w:t>دانشیار دانشگاه ادیان و مذاهب قم</w:t>
      </w:r>
    </w:p>
    <w:p w:rsidR="00594919" w:rsidRPr="00594919" w:rsidRDefault="00594919" w:rsidP="00594919">
      <w:pPr>
        <w:bidi w:val="0"/>
        <w:spacing w:line="276" w:lineRule="auto"/>
        <w:jc w:val="center"/>
        <w:rPr>
          <w:rFonts w:ascii="Calibri" w:eastAsia="Calibri" w:hAnsi="Calibri" w:cs="B Lotus"/>
          <w:rtl/>
        </w:rPr>
      </w:pPr>
      <w:r w:rsidRPr="00594919">
        <w:rPr>
          <w:rFonts w:ascii="Calibri" w:eastAsia="Calibri" w:hAnsi="Calibri" w:cs="B Lotus"/>
        </w:rPr>
        <w:t>meftah555@gmail.com</w:t>
      </w:r>
    </w:p>
    <w:p w:rsidR="00594919" w:rsidRPr="00594919" w:rsidRDefault="00594919" w:rsidP="00594919">
      <w:pPr>
        <w:bidi w:val="0"/>
        <w:spacing w:line="276" w:lineRule="auto"/>
        <w:jc w:val="right"/>
        <w:rPr>
          <w:rFonts w:ascii="Calibri" w:eastAsia="Calibri" w:hAnsi="Calibri" w:cs="B Lotus"/>
          <w:sz w:val="40"/>
          <w:szCs w:val="40"/>
        </w:rPr>
      </w:pPr>
    </w:p>
    <w:p w:rsidR="00594919" w:rsidRPr="00594919" w:rsidRDefault="00594919" w:rsidP="00594919">
      <w:pPr>
        <w:bidi w:val="0"/>
        <w:spacing w:line="276" w:lineRule="auto"/>
        <w:jc w:val="right"/>
        <w:rPr>
          <w:rFonts w:ascii="Calibri" w:eastAsia="Calibri" w:hAnsi="Calibri" w:cs="B Lotus"/>
          <w:b/>
          <w:bCs/>
          <w:sz w:val="28"/>
          <w:szCs w:val="28"/>
          <w:rtl/>
        </w:rPr>
      </w:pPr>
      <w:r w:rsidRPr="00594919">
        <w:rPr>
          <w:rFonts w:ascii="Calibri" w:eastAsia="Calibri" w:hAnsi="Calibri" w:cs="B Lotus"/>
          <w:sz w:val="40"/>
          <w:szCs w:val="40"/>
          <w:rtl/>
        </w:rPr>
        <w:t xml:space="preserve"> </w:t>
      </w:r>
      <w:r w:rsidRPr="00594919">
        <w:rPr>
          <w:rFonts w:ascii="Calibri" w:eastAsia="Calibri" w:hAnsi="Calibri" w:cs="B Lotus" w:hint="cs"/>
          <w:b/>
          <w:bCs/>
          <w:sz w:val="28"/>
          <w:szCs w:val="28"/>
          <w:rtl/>
        </w:rPr>
        <w:t>چکیده</w:t>
      </w:r>
    </w:p>
    <w:p w:rsidR="00594919" w:rsidRPr="00594919" w:rsidRDefault="00594919" w:rsidP="00594919">
      <w:pPr>
        <w:bidi w:val="0"/>
        <w:spacing w:line="276" w:lineRule="auto"/>
        <w:jc w:val="right"/>
        <w:rPr>
          <w:rFonts w:ascii="Calibri" w:eastAsia="Calibri" w:hAnsi="Calibri" w:cs="B Lotus"/>
          <w:sz w:val="24"/>
          <w:szCs w:val="24"/>
          <w:rtl/>
        </w:rPr>
      </w:pPr>
      <w:r w:rsidRPr="00594919">
        <w:rPr>
          <w:rFonts w:ascii="Calibri" w:eastAsia="Calibri" w:hAnsi="Calibri" w:cs="B Lotus" w:hint="cs"/>
          <w:sz w:val="24"/>
          <w:szCs w:val="24"/>
          <w:rtl/>
        </w:rPr>
        <w:t xml:space="preserve">    </w:t>
      </w:r>
      <w:r w:rsidRPr="00594919">
        <w:rPr>
          <w:rFonts w:ascii="Calibri" w:eastAsia="Calibri" w:hAnsi="Calibri" w:cs="B Lotus"/>
          <w:sz w:val="24"/>
          <w:szCs w:val="24"/>
          <w:rtl/>
        </w:rPr>
        <w:t>از پیامدهای ناآشکارتصلّب درروش‌های پیشینِ تفسیر کتاب مقدس ، بروزخشونتِ بیش درجامعه انسانی بود. امّا در دهه های اخیر، سنّت تفسیری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 xml:space="preserve"> 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با ایجاد جرح و تعدیل در نگرش های پسینِ خود، امکان زیست اجتماعی به‌تری را فراهم 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>نموده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 است. در این 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>نوشتار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 به این پرسش 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>پرداخته ایم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 که چگونه 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 xml:space="preserve">فهم کتاب مقدس، در پرتوی 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تغییر پارادایم 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 xml:space="preserve"> از شدّت خشونت هایی نظیر دستگاه تفتیش عقاید و تکفیرمی کاهد.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 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 xml:space="preserve">در این راستا 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مصوبات 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 xml:space="preserve">شورای دومّ واتیکان و کمیسیون اسقفی کتاب مقدّس 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ناظر به سنّت تفسیری به گونه‌ای سامان یافته‌ که ‌از پیامدهای‌ 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>نهانی آن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 صلح بیش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 xml:space="preserve"> تر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 و سایش‌اجتماعی کمتر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 xml:space="preserve">در بستر اجتماع </w:t>
      </w:r>
      <w:r w:rsidRPr="00594919">
        <w:rPr>
          <w:rFonts w:ascii="Calibri" w:eastAsia="Calibri" w:hAnsi="Calibri" w:cs="B Lotus"/>
          <w:sz w:val="24"/>
          <w:szCs w:val="24"/>
          <w:rtl/>
        </w:rPr>
        <w:t>است.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 xml:space="preserve"> 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نمونه‌های مختلفی از این دست را می‌توان در 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>هر دو سنّت کاتولیک و پروتستان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 مشاهده کرد؛ ازرهیافت‌های اصول بیست گانه </w:t>
      </w:r>
      <w:r w:rsidRPr="00594919">
        <w:rPr>
          <w:rFonts w:ascii="Calibri" w:eastAsia="Calibri" w:hAnsi="Calibri" w:cs="B Lotus"/>
          <w:i/>
          <w:iCs/>
          <w:sz w:val="24"/>
          <w:szCs w:val="24"/>
          <w:rtl/>
        </w:rPr>
        <w:t>کمیسیون اسقفی کتاب مقدّس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 xml:space="preserve"> در سنّت کاتولیک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، امکان زیست اجتماعی همدلانه تر است. ازسوی 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>دیگر در سنّت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 پروتستان، کاهش نزاع وخشونت اجتماعی، بازتابنده 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>تغییر در نوع نگاه تفسیری است</w:t>
      </w:r>
      <w:r w:rsidRPr="00594919">
        <w:rPr>
          <w:rFonts w:ascii="Calibri" w:eastAsia="Calibri" w:hAnsi="Calibri" w:cs="B Lotus"/>
          <w:sz w:val="24"/>
          <w:szCs w:val="24"/>
          <w:rtl/>
        </w:rPr>
        <w:t>. این مقاله بر آن است نقش بهِنگام تفاسیر را در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 xml:space="preserve"> کاهش یا بروز</w:t>
      </w:r>
      <w:r w:rsidRPr="00594919">
        <w:rPr>
          <w:rFonts w:ascii="Calibri" w:eastAsia="Calibri" w:hAnsi="Calibri" w:cs="B Lotus"/>
          <w:sz w:val="24"/>
          <w:szCs w:val="24"/>
          <w:rtl/>
        </w:rPr>
        <w:t xml:space="preserve"> خشونت</w:t>
      </w:r>
      <w:r w:rsidRPr="00594919">
        <w:rPr>
          <w:rFonts w:ascii="Calibri" w:eastAsia="Calibri" w:hAnsi="Calibri" w:cs="B Lotus" w:hint="cs"/>
          <w:sz w:val="24"/>
          <w:szCs w:val="24"/>
          <w:rtl/>
        </w:rPr>
        <w:t xml:space="preserve"> بازنماید.</w:t>
      </w:r>
    </w:p>
    <w:p w:rsidR="00594919" w:rsidRPr="00594919" w:rsidRDefault="00594919" w:rsidP="00594919">
      <w:pPr>
        <w:bidi w:val="0"/>
        <w:spacing w:line="276" w:lineRule="auto"/>
        <w:jc w:val="right"/>
        <w:rPr>
          <w:rFonts w:ascii="Calibri" w:eastAsia="Calibri" w:hAnsi="Calibri" w:cs="B Lotus"/>
          <w:sz w:val="28"/>
          <w:szCs w:val="28"/>
          <w:rtl/>
        </w:rPr>
      </w:pPr>
      <w:r w:rsidRPr="00594919">
        <w:rPr>
          <w:rFonts w:ascii="Calibri" w:eastAsia="Calibri" w:hAnsi="Calibri" w:cs="B Lotus"/>
          <w:sz w:val="28"/>
          <w:szCs w:val="28"/>
          <w:rtl/>
        </w:rPr>
        <w:t xml:space="preserve"> </w:t>
      </w:r>
    </w:p>
    <w:p w:rsidR="00594919" w:rsidRPr="00594919" w:rsidRDefault="00594919" w:rsidP="00594919">
      <w:pPr>
        <w:bidi w:val="0"/>
        <w:spacing w:line="276" w:lineRule="auto"/>
        <w:jc w:val="right"/>
        <w:rPr>
          <w:rFonts w:ascii="Calibri" w:eastAsia="Calibri" w:hAnsi="Calibri" w:cs="B Lotus"/>
          <w:b/>
          <w:bCs/>
          <w:sz w:val="24"/>
          <w:szCs w:val="24"/>
          <w:rtl/>
        </w:rPr>
      </w:pPr>
      <w:r w:rsidRPr="00594919">
        <w:rPr>
          <w:rFonts w:ascii="Calibri" w:eastAsia="Calibri" w:hAnsi="Calibri" w:cs="B Lotus"/>
          <w:b/>
          <w:bCs/>
          <w:sz w:val="24"/>
          <w:szCs w:val="24"/>
          <w:rtl/>
        </w:rPr>
        <w:t>کلیدواژگان: تفسیر</w:t>
      </w:r>
      <w:r w:rsidRPr="00594919">
        <w:rPr>
          <w:rFonts w:ascii="Calibri" w:eastAsia="Calibri" w:hAnsi="Calibri" w:cs="B Lotus" w:hint="cs"/>
          <w:b/>
          <w:bCs/>
          <w:sz w:val="24"/>
          <w:szCs w:val="24"/>
          <w:rtl/>
        </w:rPr>
        <w:t>کتاب مقدّس،تغییر پارادایم</w:t>
      </w:r>
      <w:r w:rsidRPr="00594919">
        <w:rPr>
          <w:rFonts w:ascii="Calibri" w:eastAsia="Calibri" w:hAnsi="Calibri" w:cs="B Lotus"/>
          <w:b/>
          <w:bCs/>
          <w:sz w:val="24"/>
          <w:szCs w:val="24"/>
          <w:rtl/>
        </w:rPr>
        <w:t>، شورای دوم واتیکان</w:t>
      </w:r>
      <w:r w:rsidRPr="00594919">
        <w:rPr>
          <w:rFonts w:ascii="Calibri" w:eastAsia="Calibri" w:hAnsi="Calibri" w:cs="B Lotus" w:hint="cs"/>
          <w:b/>
          <w:bCs/>
          <w:sz w:val="24"/>
          <w:szCs w:val="24"/>
          <w:rtl/>
        </w:rPr>
        <w:t>، کمیسیون اسقفی کتاب مقدّس، تئوری جنگ لوتر</w:t>
      </w:r>
    </w:p>
    <w:p w:rsidR="002D7D4A" w:rsidRDefault="002D7D4A">
      <w:bookmarkStart w:id="0" w:name="_GoBack"/>
      <w:bookmarkEnd w:id="0"/>
    </w:p>
    <w:sectPr w:rsidR="002D7D4A" w:rsidSect="0025213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20"/>
    <w:rsid w:val="0025213D"/>
    <w:rsid w:val="002D7D4A"/>
    <w:rsid w:val="00522D20"/>
    <w:rsid w:val="005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FAC899-ACF3-415D-B229-DD3B313B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Sareh</dc:creator>
  <cp:keywords/>
  <dc:description/>
  <cp:lastModifiedBy>Sareh</cp:lastModifiedBy>
  <cp:revision>2</cp:revision>
  <dcterms:created xsi:type="dcterms:W3CDTF">2017-03-15T01:25:00Z</dcterms:created>
  <dcterms:modified xsi:type="dcterms:W3CDTF">2017-03-15T01:25:00Z</dcterms:modified>
</cp:coreProperties>
</file>