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773" w:rsidRDefault="00CE1773">
      <w:pPr>
        <w:rPr>
          <w:noProof/>
          <w:rtl/>
        </w:rPr>
      </w:pPr>
    </w:p>
    <w:p w:rsidR="008E1801" w:rsidRPr="008E1801" w:rsidRDefault="008E1801" w:rsidP="008E1801">
      <w:pPr>
        <w:jc w:val="lowKashida"/>
        <w:rPr>
          <w:rFonts w:cs="B Nazanin"/>
          <w:b/>
          <w:bCs/>
          <w:sz w:val="26"/>
          <w:szCs w:val="26"/>
          <w:rtl/>
          <w:lang w:bidi="fa-IR"/>
        </w:rPr>
      </w:pPr>
      <w:r w:rsidRPr="008E1801">
        <w:rPr>
          <w:rFonts w:cs="B Nazanin" w:hint="cs"/>
          <w:b/>
          <w:bCs/>
          <w:sz w:val="26"/>
          <w:szCs w:val="26"/>
          <w:rtl/>
          <w:lang w:bidi="fa-IR"/>
        </w:rPr>
        <w:t>چکیده</w:t>
      </w:r>
    </w:p>
    <w:p w:rsidR="008E1801" w:rsidRDefault="008E1801" w:rsidP="008E1801">
      <w:pPr>
        <w:jc w:val="lowKashida"/>
        <w:rPr>
          <w:rFonts w:cs="B Nazanin"/>
          <w:rtl/>
        </w:rPr>
      </w:pPr>
      <w:r w:rsidRPr="008E1801">
        <w:rPr>
          <w:rFonts w:cs="B Nazanin" w:hint="cs"/>
          <w:rtl/>
        </w:rPr>
        <w:t>ارائه خدمات مشاوره ای کشاورزی درباره موضوعات پایداری چون مراقبت از محیط زیست و امنیت غذایی به ویژه در نظام های خصوصی ترویج کشاورزی مورد توجه قرار گرفته است. بخش دولتی به این مشاوران خصوصی بخش کشاورزی در ارتباط با موضوعات پایداری در حیطه کشاورزی وابسته است زیرا  آنها قادرند در ارتباط مستقیم ومنظم با کشاورزان مسائل پایداری کشاورزی را مورد توجه قرار دهند. بنابراین هدف اصلی این مقاله بررسی نقش مشاوران خصوصی کشاورزی در ترویج و توسعه مدیریت پایدار مزارع بوده که از دیدگاه کشاورزان و مشاوران مورد بررسی قرار گرفته است.شیوه اجرای این تحقیق میدانی و با استفاده از پرسشنامه انجام گرفته و جامعه آماری مورد مطالعه 128 نفر از مشاوران کشاورزی و 384 نفر از گندم کاران شهرستان کرمانشاه بوده است.بررسی دیدگاه های هر دو گروه مورد مطالعه حاکی از آن بود که رعایت اصول تناوب زراعی و آیش و همچنین کاشت ارقام و واریته های مناسب منطقه بالاترین اولویت را دارا بوده است. همچنین نتایج حاصل از رگرسیون خطی نشان داده است که دانش، تجربه و ارتباطات مشاوران کشاورزی با سایر عاملان این مجموعه نقش مهمی در حمایت از مدیریت پایدار مزارع کشاورزان داشته است</w:t>
      </w:r>
      <w:r>
        <w:rPr>
          <w:rFonts w:cs="B Nazanin" w:hint="cs"/>
          <w:i/>
          <w:iCs/>
          <w:rtl/>
        </w:rPr>
        <w:t>.</w:t>
      </w:r>
    </w:p>
    <w:p w:rsidR="008E1801" w:rsidRPr="00C32A95" w:rsidRDefault="008E1801" w:rsidP="008E1801">
      <w:pPr>
        <w:jc w:val="lowKashida"/>
        <w:rPr>
          <w:rFonts w:cs="B Nazanin"/>
          <w:rtl/>
        </w:rPr>
      </w:pPr>
      <w:r w:rsidRPr="008E1801">
        <w:rPr>
          <w:rFonts w:cs="B Nazanin" w:hint="cs"/>
          <w:b/>
          <w:bCs/>
          <w:sz w:val="26"/>
          <w:szCs w:val="26"/>
          <w:rtl/>
        </w:rPr>
        <w:t>کلمات کلیدی</w:t>
      </w:r>
      <w:r w:rsidRPr="00C32A95">
        <w:rPr>
          <w:rFonts w:cs="B Nazanin" w:hint="cs"/>
          <w:b/>
          <w:bCs/>
          <w:rtl/>
        </w:rPr>
        <w:t>:</w:t>
      </w:r>
      <w:r w:rsidRPr="00C32A95">
        <w:rPr>
          <w:rFonts w:cs="B Nazanin" w:hint="cs"/>
          <w:rtl/>
        </w:rPr>
        <w:t xml:space="preserve"> </w:t>
      </w:r>
      <w:r>
        <w:rPr>
          <w:rFonts w:cs="B Nazanin" w:hint="cs"/>
          <w:rtl/>
        </w:rPr>
        <w:t>مشاوران کشاورزی، خصوصی سازی، مدیریت پایدار مزارع</w:t>
      </w:r>
    </w:p>
    <w:p w:rsidR="008E1801" w:rsidRDefault="008E1801" w:rsidP="008E1801">
      <w:pPr>
        <w:jc w:val="lowKashida"/>
        <w:rPr>
          <w:rFonts w:cs="B Nazanin"/>
          <w:rtl/>
        </w:rPr>
      </w:pPr>
    </w:p>
    <w:p w:rsidR="00D05DDF" w:rsidRDefault="00D05DDF">
      <w:pPr>
        <w:rPr>
          <w:noProof/>
          <w:rtl/>
        </w:rPr>
      </w:pPr>
    </w:p>
    <w:p w:rsidR="008E1801" w:rsidRPr="008E1801" w:rsidRDefault="008E1801" w:rsidP="008E1801">
      <w:pPr>
        <w:pStyle w:val="BlockText"/>
        <w:spacing w:line="360" w:lineRule="auto"/>
        <w:ind w:left="0" w:firstLine="0"/>
        <w:jc w:val="both"/>
        <w:rPr>
          <w:rFonts w:cs="B Nazanin"/>
          <w:sz w:val="26"/>
          <w:szCs w:val="26"/>
          <w:rtl/>
          <w:lang w:bidi="fa-IR"/>
        </w:rPr>
      </w:pPr>
      <w:r w:rsidRPr="008E1801">
        <w:rPr>
          <w:rFonts w:cs="B Nazanin" w:hint="cs"/>
          <w:sz w:val="26"/>
          <w:szCs w:val="26"/>
          <w:rtl/>
          <w:lang w:bidi="fa-IR"/>
        </w:rPr>
        <w:t>مقدمه</w:t>
      </w:r>
    </w:p>
    <w:p w:rsidR="008E1801" w:rsidRPr="008E1801" w:rsidRDefault="008E1801" w:rsidP="008E1801">
      <w:pPr>
        <w:autoSpaceDE w:val="0"/>
        <w:autoSpaceDN w:val="0"/>
        <w:adjustRightInd w:val="0"/>
        <w:spacing w:line="360" w:lineRule="auto"/>
        <w:jc w:val="both"/>
        <w:rPr>
          <w:rFonts w:cs="B Nazanin"/>
          <w:rtl/>
        </w:rPr>
      </w:pPr>
      <w:r w:rsidRPr="008E1801">
        <w:rPr>
          <w:rFonts w:cs="B Nazanin" w:hint="cs"/>
          <w:rtl/>
          <w:lang w:bidi="fa-IR"/>
        </w:rPr>
        <w:t>کشاورزی پایدار که در برگیرنده عناصری مانند حفظ انسجام اکوسیستم، عرضه مستمر منابع طبیعی و انسجام و رفاه جوامع در منطق روستایی است نیاز به حمایت نظام های دانش مناسب دارد(</w:t>
      </w:r>
      <w:r w:rsidRPr="008E1801">
        <w:rPr>
          <w:rFonts w:ascii="AdvTT5843c571" w:hAnsi="AdvTT5843c571" w:cs="B Nazanin"/>
        </w:rPr>
        <w:t>Bawden, 2007</w:t>
      </w:r>
      <w:r w:rsidRPr="008E1801">
        <w:rPr>
          <w:rFonts w:ascii="AdvTT5843c571" w:hAnsi="AdvTT5843c571" w:cs="B Nazanin" w:hint="cs"/>
          <w:rtl/>
        </w:rPr>
        <w:t xml:space="preserve">). </w:t>
      </w:r>
      <w:r w:rsidRPr="008E1801">
        <w:rPr>
          <w:rFonts w:eastAsia="Calibri" w:cs="B Nazanin"/>
        </w:rPr>
        <w:t>H</w:t>
      </w:r>
      <w:r w:rsidRPr="008E1801">
        <w:rPr>
          <w:rFonts w:eastAsia="Calibri" w:cs="B Nazanin"/>
          <w:color w:val="000000" w:themeColor="text1"/>
        </w:rPr>
        <w:t>edg</w:t>
      </w:r>
      <w:r w:rsidRPr="008E1801">
        <w:rPr>
          <w:rFonts w:eastAsia="Calibri" w:cs="B Nazanin"/>
        </w:rPr>
        <w:t xml:space="preserve">e </w:t>
      </w:r>
      <w:r w:rsidRPr="008E1801">
        <w:rPr>
          <w:rFonts w:eastAsia="Calibri" w:cs="B Nazanin" w:hint="cs"/>
          <w:rtl/>
        </w:rPr>
        <w:t xml:space="preserve"> </w:t>
      </w:r>
      <w:r w:rsidRPr="008E1801">
        <w:rPr>
          <w:rFonts w:eastAsia="Calibri" w:cs="B Nazanin"/>
        </w:rPr>
        <w:t>(2000)</w:t>
      </w:r>
      <w:r w:rsidRPr="008E1801">
        <w:rPr>
          <w:rFonts w:eastAsia="Calibri" w:cs="B Nazanin" w:hint="cs"/>
          <w:rtl/>
          <w:lang w:bidi="fa-IR"/>
        </w:rPr>
        <w:t xml:space="preserve"> کشاورزی پایدار را مجموعه ای از فعالیتهای کشاورزی می داند که باعث حفظ و بهره وری مزارع ، کارایی در بلند مدت بدون آسیب رساندن به منابع طبیعی و محیط زیست می شود.</w:t>
      </w:r>
      <w:r w:rsidRPr="008E1801">
        <w:rPr>
          <w:rFonts w:eastAsia="Calibri" w:cs="B Nazanin"/>
          <w:lang w:bidi="fa-IR"/>
        </w:rPr>
        <w:t>Singh et al</w:t>
      </w:r>
      <w:r w:rsidRPr="008E1801">
        <w:rPr>
          <w:rFonts w:eastAsia="Calibri" w:cs="B Nazanin" w:hint="cs"/>
          <w:rtl/>
          <w:lang w:bidi="fa-IR"/>
        </w:rPr>
        <w:t xml:space="preserve"> </w:t>
      </w:r>
      <w:r w:rsidRPr="008E1801">
        <w:rPr>
          <w:rFonts w:eastAsia="Calibri" w:cs="B Nazanin"/>
          <w:lang w:bidi="fa-IR"/>
        </w:rPr>
        <w:t>(2000)</w:t>
      </w:r>
      <w:r w:rsidRPr="008E1801">
        <w:rPr>
          <w:rFonts w:eastAsia="Calibri" w:cs="B Nazanin" w:hint="cs"/>
          <w:rtl/>
          <w:lang w:bidi="fa-IR"/>
        </w:rPr>
        <w:t xml:space="preserve"> بیان می کند که مفهوم پایداری دلالت بر حفظ هماهنگی بین دانش و پویایی است که منجر به رشد کشاورزی همسو با نیازهای انسان با تاکید بر محیط زیست است.</w:t>
      </w:r>
      <w:r w:rsidRPr="008E1801">
        <w:rPr>
          <w:rFonts w:eastAsia="Calibri" w:cs="B Nazanin"/>
          <w:lang w:bidi="fa-IR"/>
        </w:rPr>
        <w:t>Kumaraswamy</w:t>
      </w:r>
      <w:r w:rsidRPr="008E1801">
        <w:rPr>
          <w:rFonts w:eastAsia="Calibri" w:cs="B Nazanin" w:hint="cs"/>
          <w:rtl/>
          <w:lang w:bidi="fa-IR"/>
        </w:rPr>
        <w:t xml:space="preserve"> </w:t>
      </w:r>
      <w:r w:rsidRPr="008E1801">
        <w:rPr>
          <w:rFonts w:eastAsia="Calibri" w:cs="B Nazanin"/>
          <w:lang w:bidi="fa-IR"/>
        </w:rPr>
        <w:t>(2001)</w:t>
      </w:r>
      <w:r w:rsidRPr="008E1801">
        <w:rPr>
          <w:rFonts w:eastAsia="Calibri" w:cs="B Nazanin" w:hint="cs"/>
          <w:rtl/>
          <w:lang w:bidi="fa-IR"/>
        </w:rPr>
        <w:t xml:space="preserve"> فلسفه کشاورزی پایدار را در بکارگیری روشهای کشت پایدار به منظور دستیابی به حداکثر تولید از طریق روشهای علمی کشاورزی ، واریته های محصول با عملکرد بالا و استفاده از کودهای زیستی که مانع آلودگی محیط زیست می شود ، عنوان می کند. کشاورزی پایدار موضوع پیچیده ای است که مرتبط با تولید غذا است در حالی که منابع محیط زیست باید حفظ شود.</w:t>
      </w:r>
      <w:r w:rsidRPr="008E1801">
        <w:rPr>
          <w:rFonts w:eastAsia="Calibri" w:cs="B Nazanin"/>
          <w:lang w:bidi="fa-IR"/>
        </w:rPr>
        <w:t xml:space="preserve">Maraddi </w:t>
      </w:r>
      <w:r w:rsidRPr="008E1801">
        <w:rPr>
          <w:rFonts w:eastAsia="Calibri" w:cs="B Nazanin" w:hint="cs"/>
          <w:rtl/>
          <w:lang w:bidi="fa-IR"/>
        </w:rPr>
        <w:t xml:space="preserve"> </w:t>
      </w:r>
      <w:r w:rsidRPr="008E1801">
        <w:rPr>
          <w:rFonts w:eastAsia="Calibri" w:cs="B Nazanin"/>
          <w:lang w:bidi="fa-IR"/>
        </w:rPr>
        <w:t xml:space="preserve">(2006) </w:t>
      </w:r>
      <w:r w:rsidRPr="008E1801">
        <w:rPr>
          <w:rFonts w:eastAsia="Calibri" w:cs="B Nazanin" w:hint="cs"/>
          <w:rtl/>
          <w:lang w:bidi="fa-IR"/>
        </w:rPr>
        <w:t xml:space="preserve"> در تحقیق خود کسب موفقیت در بهبود روشهای کشت پایدار را از طریق تنوع کشت ، به کار گیری ارقام مناسب  با شرایط منطقه ، استفاده از واریته های مقاوم به آفات و فعالیتهای بهبود تغذیه گیاه شامل رعایت تناوب زراعی ، استفاده ترکیبی از کودهای آلی و کودهای سبز و استفاده از بقایای گیاهی مطرح نموده است. به طور کلی محققان کشاورزی پایدار را شامل مدیریت آفات بیماریها، مدیریت تغذیه گیاه، مدیریت استفاده از کودهای دامی، حفظ منابع آب و خاک و استفاده از بذور مناسب بیان می کنند</w:t>
      </w:r>
      <w:r w:rsidRPr="008E1801">
        <w:rPr>
          <w:rFonts w:eastAsia="Calibri" w:cs="B Nazanin"/>
          <w:lang w:bidi="fa-IR"/>
        </w:rPr>
        <w:t>(Rolling,1994a,1994b)</w:t>
      </w:r>
      <w:r w:rsidRPr="008E1801">
        <w:rPr>
          <w:rFonts w:eastAsia="Calibri" w:cs="B Nazanin" w:hint="cs"/>
          <w:rtl/>
          <w:lang w:bidi="fa-IR"/>
        </w:rPr>
        <w:t>. گندم یکی از محصولاتی است که دامنه گسترده ای از تلفیق فعالیتهای ذکر شده باید بکار گرفته شود تا عملکرد بالاتری داشته باشد. بر اساس پیش بینی های بعمل آمده میزان تولید گندم در سالهای 2003 -2014 از 4/12 به 4/14 میلیون تن خواهد رسید</w:t>
      </w:r>
      <w:r w:rsidRPr="008E1801">
        <w:rPr>
          <w:rFonts w:eastAsia="Calibri" w:cs="B Nazanin"/>
        </w:rPr>
        <w:t>(Anonymous,2011)</w:t>
      </w:r>
      <w:r w:rsidRPr="008E1801">
        <w:rPr>
          <w:rFonts w:eastAsia="Calibri" w:cs="B Nazanin" w:hint="cs"/>
          <w:rtl/>
          <w:lang w:bidi="fa-IR"/>
        </w:rPr>
        <w:t>. د</w:t>
      </w:r>
      <w:r w:rsidRPr="008E1801">
        <w:rPr>
          <w:rFonts w:cs="B Nazanin" w:hint="cs"/>
          <w:rtl/>
        </w:rPr>
        <w:t xml:space="preserve">ر این تحقیق روشهای کشت پایدار گندم به عنوان یک راهبرد </w:t>
      </w:r>
      <w:r w:rsidRPr="008E1801">
        <w:rPr>
          <w:rFonts w:cs="B Nazanin" w:hint="cs"/>
          <w:rtl/>
        </w:rPr>
        <w:lastRenderedPageBreak/>
        <w:t xml:space="preserve">شامل توسعه روشهای کشت پایدار از طریق شیوه های کاهش خاکورزی، شخم حفاظتی، کاشت واریته های مناسب با شرایط منطقه، واریته های مناسب با شرایط منطقه، واریته های مناسبی که به نهاده های کمی احتیاج دارند، استفاده از کشت مخلوط، کودهای آلی، روشهای مکانیکی برای مبارزه با علفهای هرز، روشهای بیولوژیکی و مکانیکی برای مبارزه با آفات و بیماریها، تناوب زراعی، آیش اراضی و یکپارچه سازی دارد. </w:t>
      </w:r>
    </w:p>
    <w:p w:rsidR="008E1801" w:rsidRPr="008E1801" w:rsidRDefault="008E1801" w:rsidP="008E1801">
      <w:pPr>
        <w:pStyle w:val="BlockText"/>
        <w:spacing w:line="360" w:lineRule="auto"/>
        <w:ind w:left="0" w:firstLine="0"/>
        <w:jc w:val="both"/>
        <w:rPr>
          <w:rFonts w:cs="B Nazanin"/>
          <w:b w:val="0"/>
          <w:bCs w:val="0"/>
          <w:sz w:val="24"/>
          <w:szCs w:val="24"/>
          <w:rtl/>
        </w:rPr>
      </w:pPr>
      <w:r w:rsidRPr="008E1801">
        <w:rPr>
          <w:rFonts w:cs="B Nazanin" w:hint="cs"/>
          <w:b w:val="0"/>
          <w:bCs w:val="0"/>
          <w:noProof w:val="0"/>
          <w:color w:val="auto"/>
          <w:sz w:val="24"/>
          <w:szCs w:val="24"/>
          <w:rtl/>
          <w:lang w:val="en-US"/>
        </w:rPr>
        <w:t>کشاورزی هنگامی به پایداری می رسد که افراد دلیلی برای استفاده و بکارگیری آن داشته باشند و این امر نیز با یادگیری و آموزش روشهای پایداری محقق می شود . از آنجا که بخش دولتی به تنهایی قادر به ایجاد ارتباط و تعامل گسترده و فراگیر با کشاورزان در جهت پاسخگویی به نیاز آنها نبوده، از این رو مشاوران خصوصی بخش کشاورزی به عنوان ظرفیتهای بالقوه مورد توجه مدیریت طرح پایدار مزارع قرار گرفته و از آن به عنوان اهرمی برای اهداف منتهی به اصول پایداری به کار گرفته شده اند</w:t>
      </w:r>
      <w:r w:rsidRPr="008E1801">
        <w:rPr>
          <w:rFonts w:cs="B Nazanin"/>
          <w:b w:val="0"/>
          <w:bCs w:val="0"/>
          <w:noProof w:val="0"/>
          <w:color w:val="auto"/>
          <w:sz w:val="24"/>
          <w:szCs w:val="24"/>
          <w:lang w:val="en-US"/>
        </w:rPr>
        <w:t>(Sedighi &amp; Nikbakht,2005)</w:t>
      </w:r>
      <w:r w:rsidRPr="008E1801">
        <w:rPr>
          <w:rFonts w:cs="B Nazanin" w:hint="cs"/>
          <w:b w:val="0"/>
          <w:bCs w:val="0"/>
          <w:noProof w:val="0"/>
          <w:color w:val="auto"/>
          <w:sz w:val="24"/>
          <w:szCs w:val="24"/>
          <w:rtl/>
          <w:lang w:val="en-US"/>
        </w:rPr>
        <w:t>. خدمات مشاوره‏ای کشاورزی در بخش خصوصی شامل ارائه آگاهانه اطلاعات و ارتباطات حمایتی</w:t>
      </w:r>
      <w:r w:rsidRPr="008E1801">
        <w:rPr>
          <w:rFonts w:cs="B Nazanin" w:hint="cs"/>
          <w:sz w:val="24"/>
          <w:szCs w:val="24"/>
          <w:rtl/>
        </w:rPr>
        <w:t xml:space="preserve"> </w:t>
      </w:r>
      <w:r w:rsidRPr="008E1801">
        <w:rPr>
          <w:rFonts w:cs="B Nazanin" w:hint="cs"/>
          <w:b w:val="0"/>
          <w:bCs w:val="0"/>
          <w:sz w:val="24"/>
          <w:szCs w:val="24"/>
          <w:rtl/>
        </w:rPr>
        <w:t>برای کشاورزان است که منجر به اطلاعات، کمک به کشاورزان در تجزیه و تحلیل مشکلات، شناسایی فرصتها و تسهیم اطلاعات از طریق فعالیتهای ترویجی می شود. از آنجا که هدف ترویج نه تنها افزایش تولید نیست بلکه امنیت و سلامت غذایی، بهبود تغذیه و مباحث پایداری را نیز در بر می گیرد</w:t>
      </w:r>
      <w:r w:rsidRPr="008E1801">
        <w:rPr>
          <w:rFonts w:cs="B Nazanin"/>
          <w:b w:val="0"/>
          <w:bCs w:val="0"/>
          <w:sz w:val="24"/>
          <w:szCs w:val="24"/>
        </w:rPr>
        <w:t>(Garforth &amp; Lawrence,2004)</w:t>
      </w:r>
      <w:r w:rsidRPr="008E1801">
        <w:rPr>
          <w:rFonts w:cs="B Nazanin" w:hint="cs"/>
          <w:b w:val="0"/>
          <w:bCs w:val="0"/>
          <w:sz w:val="24"/>
          <w:szCs w:val="24"/>
          <w:rtl/>
          <w:lang w:bidi="fa-IR"/>
        </w:rPr>
        <w:t>. بنابراین با توجه به اهمیت مدیریت پایدار مزارع کشاورزی و لزوم توجه به آن به منظور ایجاد افزایش در کمیت و کیفیت محصولات کشاورزی  مشاوران کشاورزی بخش خصوصی مزرعه می توانند نقش موثری در ارائه و آموزش این روش ها و فعالیتها داشته باشند .</w:t>
      </w:r>
    </w:p>
    <w:p w:rsidR="008E1801" w:rsidRPr="008E1801" w:rsidRDefault="008E1801" w:rsidP="008E1801">
      <w:pPr>
        <w:pStyle w:val="BlockText"/>
        <w:spacing w:line="360" w:lineRule="auto"/>
        <w:ind w:left="0" w:firstLine="0"/>
        <w:jc w:val="both"/>
        <w:rPr>
          <w:rFonts w:cs="B Nazanin"/>
          <w:b w:val="0"/>
          <w:bCs w:val="0"/>
          <w:sz w:val="24"/>
          <w:szCs w:val="24"/>
          <w:lang w:bidi="fa-IR"/>
        </w:rPr>
      </w:pPr>
    </w:p>
    <w:p w:rsidR="008E1801" w:rsidRPr="008E1801" w:rsidRDefault="008E1801" w:rsidP="008E1801">
      <w:pPr>
        <w:pStyle w:val="BlockText"/>
        <w:spacing w:line="360" w:lineRule="auto"/>
        <w:ind w:left="0" w:firstLine="0"/>
        <w:jc w:val="both"/>
        <w:rPr>
          <w:rFonts w:cs="B Nazanin"/>
          <w:sz w:val="26"/>
          <w:szCs w:val="26"/>
          <w:rtl/>
        </w:rPr>
      </w:pPr>
      <w:r w:rsidRPr="008E1801">
        <w:rPr>
          <w:rFonts w:cs="B Nazanin" w:hint="cs"/>
          <w:sz w:val="26"/>
          <w:szCs w:val="26"/>
          <w:rtl/>
        </w:rPr>
        <w:t>روش شناسی</w:t>
      </w:r>
    </w:p>
    <w:p w:rsidR="008E1801" w:rsidRPr="008E1801" w:rsidRDefault="008E1801" w:rsidP="008E1801">
      <w:pPr>
        <w:jc w:val="both"/>
        <w:rPr>
          <w:rFonts w:cs="B Nazanin" w:hint="cs"/>
          <w:rtl/>
          <w:lang w:bidi="fa-IR"/>
        </w:rPr>
      </w:pPr>
      <w:r w:rsidRPr="008E1801">
        <w:rPr>
          <w:rFonts w:cs="B Nazanin" w:hint="cs"/>
          <w:rtl/>
        </w:rPr>
        <w:t>پژوهش حاضر به لحاظ هدف از نوع کاربردی ، براساس ماهیت داده ها از نوع کمی و از نظر جمع آوری داده ها از نوع پیمایشی بوده و به روش توصیفی- همبستگی است. جامعه آماری 128 نفر از مشاوران بخش خصوصی کشاورزی و 384 نفر از کشاورزانی که در شهرستان کرمانشاه بوده اند . بررسی نقش مشاوران خصوصی کشاورزی در ترویج و توسعه مدیریت پایدار مزارع گندم از دیدگاه دو گروه مورد مطالعه با ده گویه مندرج در جدول 1 به صورت طیف لیکرت از خیلی کم تا خیلی زیاد مورد بررسی قرار گرفت. برای بررسی روایی پرسشنامه در این تحقیق از نظرات كارشناسان جهاد كشاورزي و سایر عاملان فعال در بخش خصوصی کشاورزی شامل مشاوران بخش خصوصی کشاورزی و نهادهای آموزش کشاورزی استفاده شد.همچنين براي سنجش قابليت اعتماد پرسشنامه در اين تحقيق ابتدا با استفاده از آزمون مقدماتي وتكميل 30پرسشنامه به طور جداگانه از دو جامعه آماری انجام گرفت ضریب آلفای کرونباخ به ترتیب برای مشاوران بخش خصوصی و کشاورزان 89 و 87 درصد محاسبه گردید. همچنین متغیرهای</w:t>
      </w:r>
      <w:r w:rsidRPr="008E1801">
        <w:rPr>
          <w:rFonts w:cs="B Nazanin" w:hint="cs"/>
          <w:rtl/>
          <w:lang w:bidi="fa-IR"/>
        </w:rPr>
        <w:t xml:space="preserve"> مستقل تحقیق شامل </w:t>
      </w:r>
      <w:r w:rsidRPr="008E1801">
        <w:rPr>
          <w:rFonts w:cs="B Nazanin" w:hint="cs"/>
          <w:rtl/>
          <w:lang w:val="en-GB"/>
        </w:rPr>
        <w:t xml:space="preserve">دانش فعلي مهندسان ناظر مشاوران بخش خصوصی، میزان تحصیلات، استفاده از وسایل کمک آموزشی، تجربه کاری مشاوران و میزان ارتباط با سایر عاملان بخش کشاورزی می باشد. متغیر وابسته تحقیق در قالب مدیریت پایدار مزارع است که در جدول </w:t>
      </w:r>
      <w:r w:rsidRPr="008E1801">
        <w:rPr>
          <w:rFonts w:cs="B Nazanin"/>
        </w:rPr>
        <w:t xml:space="preserve">1 </w:t>
      </w:r>
      <w:r w:rsidRPr="008E1801">
        <w:rPr>
          <w:rFonts w:cs="B Nazanin" w:hint="cs"/>
          <w:rtl/>
          <w:lang w:bidi="fa-IR"/>
        </w:rPr>
        <w:t>به تفضیل بیان شده است.</w:t>
      </w:r>
    </w:p>
    <w:p w:rsidR="008E1801" w:rsidRPr="008E1801" w:rsidRDefault="008E1801" w:rsidP="008E1801">
      <w:pPr>
        <w:pStyle w:val="BlockText"/>
        <w:spacing w:line="360" w:lineRule="auto"/>
        <w:ind w:left="0" w:firstLine="0"/>
        <w:jc w:val="both"/>
        <w:rPr>
          <w:rFonts w:cs="B Nazanin"/>
          <w:b w:val="0"/>
          <w:bCs w:val="0"/>
          <w:sz w:val="24"/>
          <w:szCs w:val="24"/>
          <w:rtl/>
          <w:lang w:bidi="fa-IR"/>
        </w:rPr>
      </w:pPr>
    </w:p>
    <w:p w:rsidR="00D05DDF" w:rsidRPr="008E1801" w:rsidRDefault="00D05DDF">
      <w:pPr>
        <w:rPr>
          <w:rFonts w:cs="B Nazanin" w:hint="cs"/>
          <w:noProof/>
          <w:rtl/>
          <w:lang w:bidi="fa-IR"/>
        </w:rPr>
      </w:pPr>
    </w:p>
    <w:p w:rsidR="00D05DDF" w:rsidRPr="00C949EE" w:rsidRDefault="00C949EE">
      <w:pPr>
        <w:rPr>
          <w:rFonts w:cs="B Nazanin"/>
          <w:b/>
          <w:bCs/>
          <w:noProof/>
          <w:sz w:val="26"/>
          <w:szCs w:val="26"/>
          <w:rtl/>
        </w:rPr>
      </w:pPr>
      <w:r w:rsidRPr="00C949EE">
        <w:rPr>
          <w:rFonts w:cs="B Nazanin" w:hint="cs"/>
          <w:b/>
          <w:bCs/>
          <w:noProof/>
          <w:sz w:val="26"/>
          <w:szCs w:val="26"/>
          <w:rtl/>
        </w:rPr>
        <w:lastRenderedPageBreak/>
        <w:t>بحث</w:t>
      </w:r>
    </w:p>
    <w:p w:rsidR="00C949EE" w:rsidRDefault="00C949EE" w:rsidP="00C949EE">
      <w:pPr>
        <w:jc w:val="lowKashida"/>
        <w:rPr>
          <w:rFonts w:cs="B Nazanin" w:hint="cs"/>
          <w:sz w:val="28"/>
          <w:szCs w:val="28"/>
          <w:rtl/>
          <w:lang w:bidi="fa-IR"/>
        </w:rPr>
      </w:pPr>
    </w:p>
    <w:p w:rsidR="00C949EE" w:rsidRPr="00C949EE" w:rsidRDefault="00C949EE" w:rsidP="00C949EE">
      <w:pPr>
        <w:jc w:val="lowKashida"/>
        <w:rPr>
          <w:rFonts w:cs="B Nazanin"/>
          <w:rtl/>
          <w:lang w:bidi="fa-IR"/>
        </w:rPr>
      </w:pPr>
      <w:r w:rsidRPr="00C949EE">
        <w:rPr>
          <w:rFonts w:cs="B Nazanin" w:hint="cs"/>
          <w:rtl/>
          <w:lang w:bidi="fa-IR"/>
        </w:rPr>
        <w:t xml:space="preserve">بر اساس یافته های تحقیق میزان بازدید مشاوران کشاورزی از مزارع حدود سه بار در هفته و بیشترین فراوانی بین یک تا دو بار در هفته بوده است. بررسی نظرات کشاورزان در خصوص میزان دفعات بازدید از سوی مشاوران دو بار هفته بیان شده است. نتایج حاصل از دیدگاه مشاوران در خصوص استفاده از مواد و روش های آموزشی نشان دهنده آن بود که بیشترین روش آموزشی بازدید از مزارع و پس از آن آموزش انفرادی، آموزش عملی، آموزش گروهی، بحث و تبادل نظر، سخنرانی آموزشی، فیلم و در نهایت کارگاه آموزشی بوده است.بررسی نظرات کشاورزان نیز نشان دهنده آن است که بازدید از مزارع اولویت اول  و استفاده از فیلم و کارگاه آموزشی در اولویت اخر قرار دارد.    </w:t>
      </w:r>
    </w:p>
    <w:p w:rsidR="00C949EE" w:rsidRPr="00C949EE" w:rsidRDefault="00C949EE" w:rsidP="00C949EE">
      <w:pPr>
        <w:jc w:val="lowKashida"/>
        <w:rPr>
          <w:rFonts w:cs="B Nazanin"/>
          <w:b/>
          <w:bCs/>
          <w:rtl/>
          <w:lang w:bidi="fa-IR"/>
        </w:rPr>
      </w:pPr>
    </w:p>
    <w:p w:rsidR="00C949EE" w:rsidRPr="00D95C2C" w:rsidRDefault="00C949EE" w:rsidP="00C949EE">
      <w:pPr>
        <w:jc w:val="lowKashida"/>
        <w:rPr>
          <w:rFonts w:cs="B Nazanin"/>
          <w:sz w:val="28"/>
          <w:szCs w:val="28"/>
          <w:rtl/>
          <w:lang w:bidi="fa-IR"/>
        </w:rPr>
      </w:pPr>
      <w:r w:rsidRPr="00C949EE">
        <w:rPr>
          <w:rFonts w:cs="B Nazanin" w:hint="cs"/>
          <w:rtl/>
          <w:lang w:bidi="fa-IR"/>
        </w:rPr>
        <w:t>بر اساس یافته های مندرج در جدول 1</w:t>
      </w:r>
      <w:r w:rsidRPr="00C949EE">
        <w:rPr>
          <w:rFonts w:cs="B Nazanin" w:hint="cs"/>
          <w:b/>
          <w:bCs/>
          <w:rtl/>
          <w:lang w:bidi="fa-IR"/>
        </w:rPr>
        <w:t xml:space="preserve"> </w:t>
      </w:r>
      <w:r w:rsidRPr="00C949EE">
        <w:rPr>
          <w:rFonts w:cs="B Nazanin" w:hint="cs"/>
          <w:rtl/>
          <w:lang w:bidi="fa-IR"/>
        </w:rPr>
        <w:t>به منظور بررسی</w:t>
      </w:r>
      <w:r w:rsidRPr="00C949EE">
        <w:rPr>
          <w:rFonts w:cs="B Nazanin" w:hint="cs"/>
          <w:b/>
          <w:bCs/>
          <w:rtl/>
          <w:lang w:bidi="fa-IR"/>
        </w:rPr>
        <w:t xml:space="preserve"> </w:t>
      </w:r>
      <w:r w:rsidRPr="00C949EE">
        <w:rPr>
          <w:rFonts w:cs="B Nazanin" w:hint="cs"/>
          <w:rtl/>
          <w:lang w:bidi="fa-IR"/>
        </w:rPr>
        <w:t>نقش مشاوران خصوصی بخش کشاورزی در ترویج مدیریت پایدار مزارع از دیدگاه مشاوران نشان دهنده آن است که توصیه به کاشت ارقام مناسب در اولویت اول و توصیه به استفاده از کشت مخلوط به جای کشت تک محصولی در اولویت اخر قرار دارد. همچنین از دیدگاه کشاورزان توصیه به استفاده از تناوب زراعی و کاشت ارقام مناسب با شرایط منطقه، ارقامی که به نهاده های کمی نیاز دارند و استفاده از روش های مکانیکی در حد متوسطی اشاعه یافته است</w:t>
      </w:r>
      <w:r>
        <w:rPr>
          <w:rFonts w:cs="B Nazanin" w:hint="cs"/>
          <w:sz w:val="28"/>
          <w:szCs w:val="28"/>
          <w:rtl/>
          <w:lang w:bidi="fa-IR"/>
        </w:rPr>
        <w:t xml:space="preserve"> . </w:t>
      </w:r>
    </w:p>
    <w:p w:rsidR="00C949EE" w:rsidRDefault="00C949EE" w:rsidP="00C949EE">
      <w:pPr>
        <w:jc w:val="lowKashida"/>
        <w:rPr>
          <w:rFonts w:cs="B Nazanin"/>
          <w:b/>
          <w:bCs/>
          <w:sz w:val="28"/>
          <w:szCs w:val="28"/>
          <w:lang w:bidi="fa-IR"/>
        </w:rPr>
      </w:pPr>
    </w:p>
    <w:p w:rsidR="00C949EE" w:rsidRDefault="00C949EE" w:rsidP="00C949EE">
      <w:pPr>
        <w:jc w:val="lowKashida"/>
        <w:rPr>
          <w:rFonts w:cs="B Nazanin"/>
          <w:b/>
          <w:bCs/>
          <w:sz w:val="20"/>
          <w:szCs w:val="20"/>
          <w:lang w:bidi="fa-IR"/>
        </w:rPr>
      </w:pPr>
    </w:p>
    <w:p w:rsidR="00C949EE" w:rsidRPr="000F68F1" w:rsidRDefault="00C949EE" w:rsidP="00C949EE">
      <w:pPr>
        <w:jc w:val="center"/>
        <w:rPr>
          <w:rFonts w:cs="B Nazanin"/>
          <w:b/>
          <w:bCs/>
          <w:sz w:val="20"/>
          <w:szCs w:val="20"/>
          <w:lang w:bidi="fa-IR"/>
        </w:rPr>
      </w:pPr>
      <w:r>
        <w:rPr>
          <w:rFonts w:cs="B Nazanin" w:hint="cs"/>
          <w:b/>
          <w:bCs/>
          <w:sz w:val="20"/>
          <w:szCs w:val="20"/>
          <w:rtl/>
          <w:lang w:bidi="fa-IR"/>
        </w:rPr>
        <w:t>جدول1.</w:t>
      </w:r>
      <w:r w:rsidRPr="009022DC">
        <w:rPr>
          <w:rFonts w:cs="B Nazanin" w:hint="cs"/>
          <w:b/>
          <w:bCs/>
          <w:sz w:val="20"/>
          <w:szCs w:val="20"/>
          <w:rtl/>
          <w:lang w:bidi="fa-IR"/>
        </w:rPr>
        <w:t xml:space="preserve">اولویت بندی </w:t>
      </w:r>
      <w:r w:rsidRPr="000F68F1">
        <w:rPr>
          <w:rFonts w:cs="B Nazanin" w:hint="cs"/>
          <w:b/>
          <w:bCs/>
          <w:sz w:val="20"/>
          <w:szCs w:val="20"/>
          <w:rtl/>
          <w:lang w:bidi="fa-IR"/>
        </w:rPr>
        <w:t xml:space="preserve">نقش </w:t>
      </w:r>
      <w:r w:rsidRPr="000F68F1">
        <w:rPr>
          <w:rFonts w:cs="B Nazanin" w:hint="cs"/>
          <w:i/>
          <w:iCs/>
          <w:sz w:val="20"/>
          <w:szCs w:val="20"/>
          <w:rtl/>
        </w:rPr>
        <w:t>نقش مشاوران خصوصی کشاورزی در ترویج مدیریت پایدار مزارع از دیدگاه کشاورزان و مشاوران</w:t>
      </w:r>
    </w:p>
    <w:tbl>
      <w:tblPr>
        <w:tblStyle w:val="TableGrid"/>
        <w:bidiVisual/>
        <w:tblW w:w="0" w:type="auto"/>
        <w:tblLook w:val="04A0" w:firstRow="1" w:lastRow="0" w:firstColumn="1" w:lastColumn="0" w:noHBand="0" w:noVBand="1"/>
      </w:tblPr>
      <w:tblGrid>
        <w:gridCol w:w="2117"/>
        <w:gridCol w:w="825"/>
        <w:gridCol w:w="879"/>
        <w:gridCol w:w="778"/>
        <w:gridCol w:w="6"/>
        <w:gridCol w:w="1827"/>
        <w:gridCol w:w="1205"/>
        <w:gridCol w:w="793"/>
        <w:gridCol w:w="857"/>
      </w:tblGrid>
      <w:tr w:rsidR="00C949EE" w:rsidRPr="000F68F1" w:rsidTr="00EB6402">
        <w:trPr>
          <w:trHeight w:val="287"/>
        </w:trPr>
        <w:tc>
          <w:tcPr>
            <w:tcW w:w="4605" w:type="dxa"/>
            <w:gridSpan w:val="5"/>
            <w:tcBorders>
              <w:top w:val="single" w:sz="4" w:space="0" w:color="auto"/>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دیدگاه مشاوران بخش خصوصی کشاورزی</w:t>
            </w:r>
          </w:p>
        </w:tc>
        <w:tc>
          <w:tcPr>
            <w:tcW w:w="4682" w:type="dxa"/>
            <w:gridSpan w:val="4"/>
            <w:tcBorders>
              <w:top w:val="single" w:sz="4" w:space="0" w:color="auto"/>
              <w:left w:val="nil"/>
              <w:bottom w:val="nil"/>
              <w:right w:val="nil"/>
            </w:tcBorders>
          </w:tcPr>
          <w:p w:rsidR="00C949EE" w:rsidRPr="000F68F1" w:rsidRDefault="00C949EE" w:rsidP="00EB6402">
            <w:pPr>
              <w:jc w:val="center"/>
              <w:rPr>
                <w:rFonts w:cs="B Nazanin"/>
                <w:sz w:val="20"/>
                <w:szCs w:val="20"/>
              </w:rPr>
            </w:pPr>
            <w:r w:rsidRPr="000F68F1">
              <w:rPr>
                <w:rFonts w:cs="B Nazanin" w:hint="cs"/>
                <w:sz w:val="20"/>
                <w:szCs w:val="20"/>
                <w:rtl/>
              </w:rPr>
              <w:t>دیدگاه کشاورزان</w:t>
            </w:r>
          </w:p>
        </w:tc>
      </w:tr>
      <w:tr w:rsidR="00C949EE" w:rsidRPr="000F68F1" w:rsidTr="00EB6402">
        <w:trPr>
          <w:trHeight w:val="1260"/>
        </w:trPr>
        <w:tc>
          <w:tcPr>
            <w:tcW w:w="2117" w:type="dxa"/>
            <w:tcBorders>
              <w:top w:val="nil"/>
              <w:left w:val="nil"/>
              <w:bottom w:val="single" w:sz="4" w:space="0" w:color="auto"/>
              <w:right w:val="nil"/>
            </w:tcBorders>
          </w:tcPr>
          <w:p w:rsidR="00C949EE" w:rsidRPr="000F68F1" w:rsidRDefault="00C949EE" w:rsidP="00EB6402">
            <w:pPr>
              <w:rPr>
                <w:rFonts w:cs="B Nazanin"/>
                <w:i/>
                <w:iCs/>
                <w:sz w:val="20"/>
                <w:szCs w:val="20"/>
                <w:rtl/>
              </w:rPr>
            </w:pPr>
            <w:r w:rsidRPr="000F68F1">
              <w:rPr>
                <w:rFonts w:cs="B Nazanin" w:hint="cs"/>
                <w:i/>
                <w:iCs/>
                <w:sz w:val="20"/>
                <w:szCs w:val="20"/>
                <w:rtl/>
              </w:rPr>
              <w:t>نقش مشاوران خصوصی کشاورزی در ترویج مدیریت پایدار مزارع</w:t>
            </w:r>
          </w:p>
        </w:tc>
        <w:tc>
          <w:tcPr>
            <w:tcW w:w="825" w:type="dxa"/>
            <w:tcBorders>
              <w:top w:val="nil"/>
              <w:left w:val="nil"/>
              <w:bottom w:val="single" w:sz="4" w:space="0" w:color="auto"/>
              <w:right w:val="nil"/>
            </w:tcBorders>
          </w:tcPr>
          <w:p w:rsidR="00C949EE" w:rsidRPr="000F68F1" w:rsidRDefault="00C949EE" w:rsidP="00EB6402">
            <w:pPr>
              <w:rPr>
                <w:rFonts w:cs="B Nazanin"/>
                <w:sz w:val="20"/>
                <w:szCs w:val="20"/>
                <w:rtl/>
              </w:rPr>
            </w:pPr>
            <w:r w:rsidRPr="000F68F1">
              <w:rPr>
                <w:rFonts w:cs="B Nazanin" w:hint="cs"/>
                <w:sz w:val="20"/>
                <w:szCs w:val="20"/>
                <w:rtl/>
              </w:rPr>
              <w:t>میانگین</w:t>
            </w:r>
          </w:p>
        </w:tc>
        <w:tc>
          <w:tcPr>
            <w:tcW w:w="879" w:type="dxa"/>
            <w:tcBorders>
              <w:top w:val="nil"/>
              <w:left w:val="nil"/>
              <w:bottom w:val="single" w:sz="4" w:space="0" w:color="auto"/>
              <w:right w:val="nil"/>
            </w:tcBorders>
          </w:tcPr>
          <w:p w:rsidR="00C949EE" w:rsidRPr="000F68F1" w:rsidRDefault="00C949EE" w:rsidP="00EB6402">
            <w:pPr>
              <w:rPr>
                <w:rFonts w:cs="B Nazanin"/>
                <w:sz w:val="20"/>
                <w:szCs w:val="20"/>
                <w:rtl/>
              </w:rPr>
            </w:pPr>
            <w:r w:rsidRPr="000F68F1">
              <w:rPr>
                <w:rFonts w:cs="B Nazanin" w:hint="cs"/>
                <w:sz w:val="20"/>
                <w:szCs w:val="20"/>
                <w:rtl/>
              </w:rPr>
              <w:t>انحراف معیار</w:t>
            </w:r>
          </w:p>
        </w:tc>
        <w:tc>
          <w:tcPr>
            <w:tcW w:w="784" w:type="dxa"/>
            <w:gridSpan w:val="2"/>
            <w:tcBorders>
              <w:top w:val="nil"/>
              <w:left w:val="nil"/>
              <w:bottom w:val="single" w:sz="4" w:space="0" w:color="auto"/>
              <w:right w:val="nil"/>
            </w:tcBorders>
          </w:tcPr>
          <w:p w:rsidR="00C949EE" w:rsidRPr="000F68F1" w:rsidRDefault="00C949EE" w:rsidP="00EB6402">
            <w:pPr>
              <w:rPr>
                <w:rFonts w:cs="B Nazanin"/>
                <w:sz w:val="20"/>
                <w:szCs w:val="20"/>
                <w:rtl/>
              </w:rPr>
            </w:pPr>
            <w:r w:rsidRPr="000F68F1">
              <w:rPr>
                <w:rFonts w:cs="B Nazanin" w:hint="cs"/>
                <w:sz w:val="20"/>
                <w:szCs w:val="20"/>
                <w:rtl/>
              </w:rPr>
              <w:t>اولویت</w:t>
            </w:r>
          </w:p>
        </w:tc>
        <w:tc>
          <w:tcPr>
            <w:tcW w:w="1827" w:type="dxa"/>
            <w:tcBorders>
              <w:top w:val="nil"/>
              <w:left w:val="nil"/>
              <w:bottom w:val="single" w:sz="4" w:space="0" w:color="auto"/>
              <w:right w:val="nil"/>
            </w:tcBorders>
          </w:tcPr>
          <w:p w:rsidR="00C949EE" w:rsidRPr="000F68F1" w:rsidRDefault="00C949EE" w:rsidP="00EB6402">
            <w:pPr>
              <w:rPr>
                <w:rFonts w:cs="B Nazanin"/>
                <w:i/>
                <w:iCs/>
                <w:sz w:val="20"/>
                <w:szCs w:val="20"/>
                <w:rtl/>
              </w:rPr>
            </w:pPr>
            <w:r w:rsidRPr="000F68F1">
              <w:rPr>
                <w:rFonts w:cs="B Nazanin" w:hint="cs"/>
                <w:i/>
                <w:iCs/>
                <w:sz w:val="20"/>
                <w:szCs w:val="20"/>
                <w:rtl/>
              </w:rPr>
              <w:t>نقش مشاوران خصوصی کشاورزی در ترویج مدیریت پایدار مزارع</w:t>
            </w:r>
          </w:p>
        </w:tc>
        <w:tc>
          <w:tcPr>
            <w:tcW w:w="1205" w:type="dxa"/>
            <w:tcBorders>
              <w:top w:val="nil"/>
              <w:left w:val="nil"/>
              <w:bottom w:val="single" w:sz="4" w:space="0" w:color="auto"/>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میانگین</w:t>
            </w:r>
          </w:p>
        </w:tc>
        <w:tc>
          <w:tcPr>
            <w:tcW w:w="793" w:type="dxa"/>
            <w:tcBorders>
              <w:top w:val="nil"/>
              <w:left w:val="nil"/>
              <w:bottom w:val="single" w:sz="4" w:space="0" w:color="auto"/>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انحراف معیار</w:t>
            </w:r>
          </w:p>
        </w:tc>
        <w:tc>
          <w:tcPr>
            <w:tcW w:w="857" w:type="dxa"/>
            <w:tcBorders>
              <w:top w:val="nil"/>
              <w:left w:val="nil"/>
              <w:bottom w:val="single" w:sz="4" w:space="0" w:color="auto"/>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اولویت</w:t>
            </w:r>
          </w:p>
          <w:p w:rsidR="00C949EE" w:rsidRPr="000F68F1" w:rsidRDefault="00C949EE" w:rsidP="00EB6402">
            <w:pPr>
              <w:jc w:val="center"/>
              <w:rPr>
                <w:rFonts w:cs="B Nazanin"/>
                <w:sz w:val="20"/>
                <w:szCs w:val="20"/>
                <w:rtl/>
              </w:rPr>
            </w:pPr>
          </w:p>
        </w:tc>
      </w:tr>
      <w:tr w:rsidR="00C949EE" w:rsidRPr="000F68F1" w:rsidTr="00EB6402">
        <w:tc>
          <w:tcPr>
            <w:tcW w:w="2117" w:type="dxa"/>
            <w:tcBorders>
              <w:top w:val="single" w:sz="4" w:space="0" w:color="auto"/>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کاشت ارقام مناسب با شرایط منطقه</w:t>
            </w:r>
          </w:p>
        </w:tc>
        <w:tc>
          <w:tcPr>
            <w:tcW w:w="825" w:type="dxa"/>
            <w:tcBorders>
              <w:top w:val="single" w:sz="4" w:space="0" w:color="auto"/>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85/3</w:t>
            </w:r>
          </w:p>
        </w:tc>
        <w:tc>
          <w:tcPr>
            <w:tcW w:w="879" w:type="dxa"/>
            <w:tcBorders>
              <w:top w:val="single" w:sz="4" w:space="0" w:color="auto"/>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1</w:t>
            </w:r>
          </w:p>
        </w:tc>
        <w:tc>
          <w:tcPr>
            <w:tcW w:w="778" w:type="dxa"/>
            <w:tcBorders>
              <w:top w:val="single" w:sz="4" w:space="0" w:color="auto"/>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1</w:t>
            </w:r>
          </w:p>
        </w:tc>
        <w:tc>
          <w:tcPr>
            <w:tcW w:w="1833" w:type="dxa"/>
            <w:gridSpan w:val="2"/>
            <w:tcBorders>
              <w:top w:val="single" w:sz="4" w:space="0" w:color="auto"/>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رعایت تناوب زراعی</w:t>
            </w:r>
          </w:p>
        </w:tc>
        <w:tc>
          <w:tcPr>
            <w:tcW w:w="1205" w:type="dxa"/>
            <w:tcBorders>
              <w:top w:val="single" w:sz="4" w:space="0" w:color="auto"/>
              <w:left w:val="nil"/>
              <w:bottom w:val="nil"/>
              <w:right w:val="nil"/>
            </w:tcBorders>
          </w:tcPr>
          <w:p w:rsidR="00C949EE" w:rsidRPr="000F68F1" w:rsidRDefault="00C949EE" w:rsidP="00EB6402">
            <w:pPr>
              <w:jc w:val="center"/>
              <w:rPr>
                <w:rFonts w:cs="B Nazanin"/>
                <w:sz w:val="20"/>
                <w:szCs w:val="20"/>
              </w:rPr>
            </w:pPr>
            <w:r w:rsidRPr="000F68F1">
              <w:rPr>
                <w:rFonts w:cs="B Nazanin" w:hint="cs"/>
                <w:sz w:val="20"/>
                <w:szCs w:val="20"/>
                <w:rtl/>
              </w:rPr>
              <w:t>62/3</w:t>
            </w:r>
          </w:p>
        </w:tc>
        <w:tc>
          <w:tcPr>
            <w:tcW w:w="793" w:type="dxa"/>
            <w:tcBorders>
              <w:top w:val="single" w:sz="4" w:space="0" w:color="auto"/>
              <w:left w:val="nil"/>
              <w:bottom w:val="nil"/>
              <w:right w:val="nil"/>
            </w:tcBorders>
          </w:tcPr>
          <w:p w:rsidR="00C949EE" w:rsidRPr="000F68F1" w:rsidRDefault="00C949EE" w:rsidP="00EB6402">
            <w:pPr>
              <w:jc w:val="center"/>
              <w:rPr>
                <w:rFonts w:cs="B Nazanin"/>
                <w:sz w:val="20"/>
                <w:szCs w:val="20"/>
              </w:rPr>
            </w:pPr>
            <w:r w:rsidRPr="000F68F1">
              <w:rPr>
                <w:rFonts w:cs="B Nazanin"/>
                <w:sz w:val="20"/>
                <w:szCs w:val="20"/>
              </w:rPr>
              <w:t>1</w:t>
            </w:r>
          </w:p>
        </w:tc>
        <w:tc>
          <w:tcPr>
            <w:tcW w:w="857" w:type="dxa"/>
            <w:tcBorders>
              <w:top w:val="single" w:sz="4" w:space="0" w:color="auto"/>
              <w:left w:val="nil"/>
              <w:bottom w:val="nil"/>
              <w:right w:val="nil"/>
            </w:tcBorders>
          </w:tcPr>
          <w:p w:rsidR="00C949EE" w:rsidRPr="000F68F1" w:rsidRDefault="00C949EE" w:rsidP="00EB6402">
            <w:pPr>
              <w:jc w:val="center"/>
              <w:rPr>
                <w:rFonts w:cs="B Nazanin"/>
                <w:sz w:val="20"/>
                <w:szCs w:val="20"/>
              </w:rPr>
            </w:pPr>
            <w:r w:rsidRPr="000F68F1">
              <w:rPr>
                <w:rFonts w:cs="B Nazanin"/>
                <w:sz w:val="20"/>
                <w:szCs w:val="20"/>
              </w:rPr>
              <w:t>1</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رعایت تناوب زراعی</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82/3</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06/1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2</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کاشت ارقام مناسب با شرایط منطقه</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56/3</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98/0</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2</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استفاده از ارقامی که به نهاده های بیرونی کمتری نیاز دارند</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27/3</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02/1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3</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استفاده از ارقامی که به نهاده های بیرونی کمتری نیاز دارند</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09/3</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01/1</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3</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استفاده از روش مکانیکی برای مبارزه با علف هرز</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97/2</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16/1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4</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استفاده از روش مکانیکی برای مبارزه با علف هرز</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96/3</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16/1</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4</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استفاده از کودهای آلی</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89/2</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11/1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5</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استفاده از کودهای آلی</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92/2</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09/1</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5</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استفاده از شخم حفاظتی</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89/2</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04/1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6</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استفاده از شخم حفاظتی</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68/2</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07/1</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6</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بکارگیری شیوه های کاهش خاک ورزی</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89/2</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05/1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7</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بکارگیری شیوه های کاهش خاک ورزی</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54/2</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93/0</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7</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توصیه به بکارگیری روش های بیولوژیکی برای کنترل آفات و بیماری ها</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82/2</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33/1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8</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بکارگیری روش های بیولوژیکی برای کنترل آفات و بیماری ها</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51/2</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25/1</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8</w:t>
            </w:r>
          </w:p>
        </w:tc>
      </w:tr>
      <w:tr w:rsidR="00C949EE" w:rsidRPr="000F68F1" w:rsidTr="00EB6402">
        <w:tc>
          <w:tcPr>
            <w:tcW w:w="2117" w:type="dxa"/>
            <w:tcBorders>
              <w:top w:val="nil"/>
              <w:left w:val="nil"/>
              <w:bottom w:val="nil"/>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t xml:space="preserve">آگاهی در خصوص یکپارچه </w:t>
            </w:r>
            <w:r w:rsidRPr="000F68F1">
              <w:rPr>
                <w:rFonts w:cs="B Nazanin" w:hint="cs"/>
                <w:sz w:val="20"/>
                <w:szCs w:val="20"/>
                <w:rtl/>
              </w:rPr>
              <w:lastRenderedPageBreak/>
              <w:t>سازی اراضی</w:t>
            </w:r>
          </w:p>
        </w:tc>
        <w:tc>
          <w:tcPr>
            <w:tcW w:w="825" w:type="dxa"/>
            <w:tcBorders>
              <w:top w:val="nil"/>
              <w:left w:val="nil"/>
              <w:bottom w:val="nil"/>
              <w:right w:val="nil"/>
            </w:tcBorders>
          </w:tcPr>
          <w:p w:rsidR="00C949EE" w:rsidRPr="000F68F1" w:rsidRDefault="00C949EE" w:rsidP="00EB6402">
            <w:pPr>
              <w:jc w:val="center"/>
              <w:rPr>
                <w:rFonts w:cs="B Nazanin"/>
                <w:sz w:val="20"/>
                <w:szCs w:val="20"/>
                <w:rtl/>
              </w:rPr>
            </w:pPr>
            <w:r w:rsidRPr="000F68F1">
              <w:rPr>
                <w:rFonts w:cs="B Nazanin" w:hint="cs"/>
                <w:sz w:val="20"/>
                <w:szCs w:val="20"/>
                <w:rtl/>
              </w:rPr>
              <w:lastRenderedPageBreak/>
              <w:t>56/2</w:t>
            </w:r>
          </w:p>
        </w:tc>
        <w:tc>
          <w:tcPr>
            <w:tcW w:w="879"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14/1</w:t>
            </w:r>
          </w:p>
        </w:tc>
        <w:tc>
          <w:tcPr>
            <w:tcW w:w="778"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w:t>
            </w:r>
          </w:p>
        </w:tc>
        <w:tc>
          <w:tcPr>
            <w:tcW w:w="1833" w:type="dxa"/>
            <w:gridSpan w:val="2"/>
            <w:tcBorders>
              <w:top w:val="nil"/>
              <w:left w:val="nil"/>
              <w:bottom w:val="nil"/>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 xml:space="preserve">آگاهی در خصوص </w:t>
            </w:r>
            <w:r w:rsidRPr="000F68F1">
              <w:rPr>
                <w:rFonts w:cs="B Nazanin" w:hint="cs"/>
                <w:sz w:val="20"/>
                <w:szCs w:val="20"/>
                <w:rtl/>
              </w:rPr>
              <w:lastRenderedPageBreak/>
              <w:t>یکپارچه سازی اراضی</w:t>
            </w:r>
          </w:p>
        </w:tc>
        <w:tc>
          <w:tcPr>
            <w:tcW w:w="1205"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lastRenderedPageBreak/>
              <w:t>26/2</w:t>
            </w:r>
          </w:p>
        </w:tc>
        <w:tc>
          <w:tcPr>
            <w:tcW w:w="793"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05/1</w:t>
            </w:r>
          </w:p>
        </w:tc>
        <w:tc>
          <w:tcPr>
            <w:tcW w:w="857" w:type="dxa"/>
            <w:tcBorders>
              <w:top w:val="nil"/>
              <w:left w:val="nil"/>
              <w:bottom w:val="nil"/>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w:t>
            </w:r>
          </w:p>
        </w:tc>
      </w:tr>
      <w:tr w:rsidR="00C949EE" w:rsidRPr="000F68F1" w:rsidTr="00EB6402">
        <w:tc>
          <w:tcPr>
            <w:tcW w:w="2117" w:type="dxa"/>
            <w:tcBorders>
              <w:top w:val="nil"/>
              <w:left w:val="nil"/>
              <w:bottom w:val="single" w:sz="4" w:space="0" w:color="auto"/>
              <w:right w:val="nil"/>
            </w:tcBorders>
          </w:tcPr>
          <w:p w:rsidR="00C949EE" w:rsidRPr="000F68F1" w:rsidRDefault="00C949EE" w:rsidP="00EB6402">
            <w:pPr>
              <w:jc w:val="lowKashida"/>
              <w:rPr>
                <w:rFonts w:cs="B Nazanin"/>
                <w:sz w:val="20"/>
                <w:szCs w:val="20"/>
                <w:rtl/>
              </w:rPr>
            </w:pPr>
            <w:r w:rsidRPr="000F68F1">
              <w:rPr>
                <w:rFonts w:cs="B Nazanin" w:hint="cs"/>
                <w:sz w:val="20"/>
                <w:szCs w:val="20"/>
                <w:rtl/>
              </w:rPr>
              <w:lastRenderedPageBreak/>
              <w:t>توصیه به استفاده از کشت مخلوط به جای کشت تک محصولی</w:t>
            </w:r>
          </w:p>
        </w:tc>
        <w:tc>
          <w:tcPr>
            <w:tcW w:w="825" w:type="dxa"/>
            <w:tcBorders>
              <w:top w:val="nil"/>
              <w:left w:val="nil"/>
              <w:bottom w:val="single" w:sz="4" w:space="0" w:color="auto"/>
              <w:right w:val="nil"/>
            </w:tcBorders>
          </w:tcPr>
          <w:p w:rsidR="00C949EE" w:rsidRPr="000F68F1" w:rsidRDefault="00C949EE" w:rsidP="00EB6402">
            <w:pPr>
              <w:jc w:val="center"/>
              <w:rPr>
                <w:rFonts w:cs="B Nazanin"/>
                <w:sz w:val="20"/>
                <w:szCs w:val="20"/>
                <w:rtl/>
              </w:rPr>
            </w:pPr>
            <w:r w:rsidRPr="000F68F1">
              <w:rPr>
                <w:rFonts w:cs="B Nazanin" w:hint="cs"/>
                <w:sz w:val="20"/>
                <w:szCs w:val="20"/>
                <w:rtl/>
              </w:rPr>
              <w:t>31/2</w:t>
            </w:r>
          </w:p>
        </w:tc>
        <w:tc>
          <w:tcPr>
            <w:tcW w:w="879" w:type="dxa"/>
            <w:tcBorders>
              <w:top w:val="nil"/>
              <w:left w:val="nil"/>
              <w:bottom w:val="single" w:sz="4" w:space="0" w:color="auto"/>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20/1</w:t>
            </w:r>
          </w:p>
        </w:tc>
        <w:tc>
          <w:tcPr>
            <w:tcW w:w="778" w:type="dxa"/>
            <w:tcBorders>
              <w:top w:val="nil"/>
              <w:left w:val="nil"/>
              <w:bottom w:val="single" w:sz="4" w:space="0" w:color="auto"/>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10</w:t>
            </w:r>
          </w:p>
        </w:tc>
        <w:tc>
          <w:tcPr>
            <w:tcW w:w="1833" w:type="dxa"/>
            <w:gridSpan w:val="2"/>
            <w:tcBorders>
              <w:top w:val="nil"/>
              <w:left w:val="nil"/>
              <w:bottom w:val="single" w:sz="4" w:space="0" w:color="auto"/>
              <w:right w:val="nil"/>
            </w:tcBorders>
          </w:tcPr>
          <w:p w:rsidR="00C949EE" w:rsidRPr="000F68F1" w:rsidRDefault="00C949EE" w:rsidP="00EB6402">
            <w:pPr>
              <w:jc w:val="lowKashida"/>
              <w:rPr>
                <w:rFonts w:cs="B Nazanin"/>
                <w:b/>
                <w:bCs/>
                <w:sz w:val="20"/>
                <w:szCs w:val="20"/>
                <w:rtl/>
              </w:rPr>
            </w:pPr>
            <w:r w:rsidRPr="000F68F1">
              <w:rPr>
                <w:rFonts w:cs="B Nazanin" w:hint="cs"/>
                <w:sz w:val="20"/>
                <w:szCs w:val="20"/>
                <w:rtl/>
              </w:rPr>
              <w:t>توصیه به استفاده از کشت مخلوط به جای کشت تک محصولی</w:t>
            </w:r>
          </w:p>
        </w:tc>
        <w:tc>
          <w:tcPr>
            <w:tcW w:w="1205" w:type="dxa"/>
            <w:tcBorders>
              <w:top w:val="nil"/>
              <w:left w:val="nil"/>
              <w:bottom w:val="single" w:sz="4" w:space="0" w:color="auto"/>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95/1</w:t>
            </w:r>
          </w:p>
        </w:tc>
        <w:tc>
          <w:tcPr>
            <w:tcW w:w="793" w:type="dxa"/>
            <w:tcBorders>
              <w:top w:val="nil"/>
              <w:left w:val="nil"/>
              <w:bottom w:val="single" w:sz="4" w:space="0" w:color="auto"/>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99/0</w:t>
            </w:r>
          </w:p>
        </w:tc>
        <w:tc>
          <w:tcPr>
            <w:tcW w:w="857" w:type="dxa"/>
            <w:tcBorders>
              <w:top w:val="nil"/>
              <w:left w:val="nil"/>
              <w:bottom w:val="single" w:sz="4" w:space="0" w:color="auto"/>
              <w:right w:val="nil"/>
            </w:tcBorders>
          </w:tcPr>
          <w:p w:rsidR="00C949EE" w:rsidRPr="000F68F1" w:rsidRDefault="00C949EE" w:rsidP="00EB6402">
            <w:pPr>
              <w:jc w:val="center"/>
              <w:rPr>
                <w:rFonts w:cs="B Nazanin"/>
                <w:b/>
                <w:bCs/>
                <w:sz w:val="20"/>
                <w:szCs w:val="20"/>
                <w:rtl/>
              </w:rPr>
            </w:pPr>
            <w:r w:rsidRPr="000F68F1">
              <w:rPr>
                <w:rFonts w:cs="B Nazanin" w:hint="cs"/>
                <w:b/>
                <w:bCs/>
                <w:sz w:val="20"/>
                <w:szCs w:val="20"/>
                <w:rtl/>
              </w:rPr>
              <w:t>10</w:t>
            </w:r>
          </w:p>
        </w:tc>
      </w:tr>
    </w:tbl>
    <w:p w:rsidR="00C949EE" w:rsidRDefault="00C949EE" w:rsidP="00C949EE">
      <w:pPr>
        <w:jc w:val="lowKashida"/>
        <w:rPr>
          <w:rFonts w:cs="B Nazanin"/>
          <w:b/>
          <w:bCs/>
          <w:sz w:val="20"/>
          <w:szCs w:val="20"/>
          <w:rtl/>
          <w:lang w:bidi="fa-IR"/>
        </w:rPr>
      </w:pPr>
    </w:p>
    <w:p w:rsidR="00C949EE" w:rsidRDefault="00C949EE" w:rsidP="00C949EE">
      <w:pPr>
        <w:jc w:val="lowKashida"/>
        <w:rPr>
          <w:rFonts w:cs="B Nazanin"/>
          <w:b/>
          <w:bCs/>
          <w:sz w:val="20"/>
          <w:szCs w:val="20"/>
          <w:rtl/>
          <w:lang w:bidi="fa-IR"/>
        </w:rPr>
      </w:pPr>
    </w:p>
    <w:p w:rsidR="00C949EE" w:rsidRDefault="00C949EE" w:rsidP="00C949EE">
      <w:pPr>
        <w:jc w:val="lowKashida"/>
        <w:rPr>
          <w:rFonts w:cs="B Nazanin"/>
          <w:b/>
          <w:bCs/>
          <w:sz w:val="20"/>
          <w:szCs w:val="20"/>
          <w:rtl/>
          <w:lang w:bidi="fa-IR"/>
        </w:rPr>
      </w:pPr>
    </w:p>
    <w:p w:rsidR="00C949EE" w:rsidRPr="00C949EE" w:rsidRDefault="00C949EE" w:rsidP="00C949EE">
      <w:pPr>
        <w:jc w:val="lowKashida"/>
        <w:rPr>
          <w:rFonts w:cs="B Nazanin"/>
          <w:b/>
          <w:bCs/>
          <w:rtl/>
          <w:lang w:bidi="fa-IR"/>
        </w:rPr>
      </w:pPr>
      <w:r w:rsidRPr="00581D50">
        <w:rPr>
          <w:rFonts w:cs="B Nazanin" w:hint="cs"/>
          <w:rtl/>
        </w:rPr>
        <w:t xml:space="preserve">در تحقیق </w:t>
      </w:r>
      <w:r w:rsidRPr="00C949EE">
        <w:rPr>
          <w:rFonts w:cs="B Nazanin" w:hint="cs"/>
          <w:rtl/>
        </w:rPr>
        <w:t xml:space="preserve">حاضر برای بررسی تاثیر متغیرهای مستقل تحقیق بر </w:t>
      </w:r>
      <w:r w:rsidRPr="00C949EE">
        <w:rPr>
          <w:rFonts w:cs="B Nazanin" w:hint="cs"/>
          <w:i/>
          <w:iCs/>
          <w:rtl/>
        </w:rPr>
        <w:t xml:space="preserve">در ترویج مدیریت پایدار مزارع </w:t>
      </w:r>
      <w:r w:rsidRPr="00C949EE">
        <w:rPr>
          <w:rFonts w:cs="B Nazanin" w:hint="cs"/>
          <w:rtl/>
        </w:rPr>
        <w:t xml:space="preserve">از رگرسیون چند متغیره استفاده گردید. برای این منظور متغیرهایی که در آزمون همبستگی با متغیر وابسته ارتباط معنی داری را نشان دادند وارد مدل شد . در جدول 2 مشاهده می شود ضریب تشخیص توانسته است حدود 57 درصد تغییرات متغیر وابسته را از طریق متغیرهای مستقل تبیین نماید. </w:t>
      </w:r>
    </w:p>
    <w:p w:rsidR="00C949EE" w:rsidRPr="00C949EE" w:rsidRDefault="00C949EE" w:rsidP="00C949EE">
      <w:pPr>
        <w:jc w:val="lowKashida"/>
        <w:rPr>
          <w:rFonts w:cs="B Nazanin"/>
          <w:b/>
          <w:bCs/>
          <w:rtl/>
          <w:lang w:bidi="fa-IR"/>
        </w:rPr>
      </w:pPr>
    </w:p>
    <w:p w:rsidR="00C949EE" w:rsidRDefault="00C949EE" w:rsidP="00C949EE">
      <w:pPr>
        <w:jc w:val="lowKashida"/>
        <w:rPr>
          <w:rFonts w:cs="B Nazanin"/>
          <w:b/>
          <w:bCs/>
          <w:sz w:val="20"/>
          <w:szCs w:val="20"/>
          <w:rtl/>
          <w:lang w:bidi="fa-IR"/>
        </w:rPr>
      </w:pPr>
    </w:p>
    <w:p w:rsidR="00C949EE" w:rsidRPr="001D3938" w:rsidRDefault="00C949EE" w:rsidP="00C949EE">
      <w:pPr>
        <w:tabs>
          <w:tab w:val="left" w:pos="1260"/>
          <w:tab w:val="center" w:pos="4252"/>
        </w:tabs>
        <w:spacing w:line="360" w:lineRule="auto"/>
        <w:jc w:val="center"/>
        <w:rPr>
          <w:rFonts w:cs="B Nazanin"/>
          <w:sz w:val="26"/>
          <w:szCs w:val="26"/>
          <w:rtl/>
          <w:lang w:val="en-GB" w:eastAsia="x-none" w:bidi="fa-IR"/>
        </w:rPr>
      </w:pPr>
      <w:r w:rsidRPr="001D3938">
        <w:rPr>
          <w:rFonts w:cs="B Nazanin" w:hint="cs"/>
          <w:sz w:val="26"/>
          <w:szCs w:val="26"/>
          <w:rtl/>
          <w:lang w:val="en-GB" w:eastAsia="x-none" w:bidi="fa-IR"/>
        </w:rPr>
        <w:t xml:space="preserve">جدول </w:t>
      </w:r>
      <w:r>
        <w:rPr>
          <w:rFonts w:cs="B Nazanin" w:hint="cs"/>
          <w:sz w:val="26"/>
          <w:szCs w:val="26"/>
          <w:rtl/>
          <w:lang w:val="en-GB" w:eastAsia="x-none" w:bidi="fa-IR"/>
        </w:rPr>
        <w:t>2.</w:t>
      </w:r>
      <w:r w:rsidRPr="001D3938">
        <w:rPr>
          <w:rFonts w:cs="B Nazanin" w:hint="cs"/>
          <w:sz w:val="26"/>
          <w:szCs w:val="26"/>
          <w:rtl/>
          <w:lang w:val="en-GB" w:eastAsia="x-none" w:bidi="fa-IR"/>
        </w:rPr>
        <w:t xml:space="preserve"> خلاصه مراحل رگرسيون چند متغيره به روش گام به گام.</w:t>
      </w:r>
    </w:p>
    <w:tbl>
      <w:tblPr>
        <w:tblW w:w="0" w:type="auto"/>
        <w:jc w:val="center"/>
        <w:tblBorders>
          <w:top w:val="single" w:sz="4" w:space="0" w:color="auto"/>
          <w:bottom w:val="single" w:sz="4" w:space="0" w:color="auto"/>
        </w:tblBorders>
        <w:tblLayout w:type="fixed"/>
        <w:tblLook w:val="00A0" w:firstRow="1" w:lastRow="0" w:firstColumn="1" w:lastColumn="0" w:noHBand="0" w:noVBand="0"/>
      </w:tblPr>
      <w:tblGrid>
        <w:gridCol w:w="3028"/>
        <w:gridCol w:w="1925"/>
        <w:gridCol w:w="717"/>
        <w:gridCol w:w="1233"/>
      </w:tblGrid>
      <w:tr w:rsidR="00C949EE" w:rsidRPr="001D3938" w:rsidTr="00EB6402">
        <w:trPr>
          <w:jc w:val="center"/>
        </w:trPr>
        <w:tc>
          <w:tcPr>
            <w:tcW w:w="3028" w:type="dxa"/>
            <w:tcBorders>
              <w:top w:val="single" w:sz="4" w:space="0" w:color="auto"/>
              <w:left w:val="nil"/>
              <w:bottom w:val="single" w:sz="4" w:space="0" w:color="auto"/>
              <w:right w:val="nil"/>
            </w:tcBorders>
            <w:shd w:val="clear" w:color="auto" w:fill="FFFFFF" w:themeFill="background1"/>
            <w:vAlign w:val="center"/>
          </w:tcPr>
          <w:p w:rsidR="00C949EE" w:rsidRPr="00C949EE" w:rsidRDefault="00C949EE" w:rsidP="00EB6402">
            <w:pPr>
              <w:jc w:val="center"/>
              <w:rPr>
                <w:rFonts w:cs="B Nazanin"/>
                <w:sz w:val="26"/>
                <w:szCs w:val="26"/>
                <w:lang w:val="en-GB" w:bidi="fa-IR"/>
              </w:rPr>
            </w:pPr>
            <w:r w:rsidRPr="00C949EE">
              <w:rPr>
                <w:rFonts w:cs="B Nazanin" w:hint="cs"/>
                <w:sz w:val="26"/>
                <w:szCs w:val="26"/>
                <w:rtl/>
                <w:lang w:val="en-GB"/>
              </w:rPr>
              <w:t>متغيرهاي وارده شده به معادله</w:t>
            </w:r>
          </w:p>
        </w:tc>
        <w:tc>
          <w:tcPr>
            <w:tcW w:w="1925" w:type="dxa"/>
            <w:tcBorders>
              <w:top w:val="single" w:sz="4" w:space="0" w:color="auto"/>
              <w:left w:val="nil"/>
              <w:bottom w:val="single" w:sz="4" w:space="0" w:color="auto"/>
              <w:right w:val="nil"/>
            </w:tcBorders>
            <w:shd w:val="clear" w:color="auto" w:fill="FFFFFF" w:themeFill="background1"/>
            <w:vAlign w:val="center"/>
          </w:tcPr>
          <w:p w:rsidR="00C949EE" w:rsidRPr="00C949EE" w:rsidRDefault="00C949EE" w:rsidP="00EB6402">
            <w:pPr>
              <w:jc w:val="center"/>
              <w:rPr>
                <w:rFonts w:cs="B Nazanin"/>
                <w:sz w:val="26"/>
                <w:szCs w:val="26"/>
                <w:lang w:val="en-GB"/>
              </w:rPr>
            </w:pPr>
            <w:r w:rsidRPr="00C949EE">
              <w:rPr>
                <w:rFonts w:cs="B Nazanin" w:hint="cs"/>
                <w:sz w:val="26"/>
                <w:szCs w:val="26"/>
                <w:rtl/>
                <w:lang w:val="en-GB"/>
              </w:rPr>
              <w:t xml:space="preserve">ضرايب </w:t>
            </w:r>
            <w:r w:rsidRPr="00C949EE">
              <w:rPr>
                <w:rFonts w:cs="B Nazanin"/>
                <w:sz w:val="26"/>
                <w:szCs w:val="26"/>
                <w:lang w:val="en-GB"/>
              </w:rPr>
              <w:t>b</w:t>
            </w:r>
            <w:r w:rsidRPr="00C949EE">
              <w:rPr>
                <w:rFonts w:cs="B Nazanin" w:hint="cs"/>
                <w:sz w:val="26"/>
                <w:szCs w:val="26"/>
                <w:rtl/>
                <w:lang w:val="en-GB"/>
              </w:rPr>
              <w:t xml:space="preserve"> متغيرهاي وارد شده به معادله</w:t>
            </w:r>
          </w:p>
        </w:tc>
        <w:tc>
          <w:tcPr>
            <w:tcW w:w="717" w:type="dxa"/>
            <w:tcBorders>
              <w:top w:val="single" w:sz="4" w:space="0" w:color="auto"/>
              <w:left w:val="nil"/>
              <w:bottom w:val="single" w:sz="4" w:space="0" w:color="auto"/>
              <w:right w:val="nil"/>
            </w:tcBorders>
            <w:shd w:val="clear" w:color="auto" w:fill="FFFFFF" w:themeFill="background1"/>
            <w:vAlign w:val="center"/>
          </w:tcPr>
          <w:p w:rsidR="00C949EE" w:rsidRPr="00C949EE" w:rsidRDefault="00C949EE" w:rsidP="00EB6402">
            <w:pPr>
              <w:jc w:val="center"/>
              <w:rPr>
                <w:rFonts w:cs="B Nazanin"/>
                <w:sz w:val="26"/>
                <w:szCs w:val="26"/>
              </w:rPr>
            </w:pPr>
            <w:r w:rsidRPr="00C949EE">
              <w:rPr>
                <w:rFonts w:cs="B Nazanin"/>
                <w:sz w:val="26"/>
                <w:szCs w:val="26"/>
                <w:lang w:val="en-GB"/>
              </w:rPr>
              <w:t>R</w:t>
            </w:r>
            <w:r w:rsidRPr="00C949EE">
              <w:rPr>
                <w:rFonts w:cs="B Nazanin"/>
                <w:position w:val="-4"/>
                <w:sz w:val="26"/>
                <w:szCs w:val="26"/>
                <w:lang w:val="en-GB"/>
              </w:rPr>
              <w:object w:dxaOrig="165"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 o:ole="" fillcolor="window">
                  <v:imagedata r:id="rId8" o:title=""/>
                </v:shape>
                <o:OLEObject Type="Embed" ProgID="Equation.3" ShapeID="_x0000_i1025" DrawAspect="Content" ObjectID="_1529262707" r:id="rId9"/>
              </w:object>
            </w:r>
          </w:p>
        </w:tc>
        <w:tc>
          <w:tcPr>
            <w:tcW w:w="1233" w:type="dxa"/>
            <w:tcBorders>
              <w:top w:val="single" w:sz="4" w:space="0" w:color="auto"/>
              <w:left w:val="nil"/>
              <w:bottom w:val="single" w:sz="4" w:space="0" w:color="auto"/>
              <w:right w:val="nil"/>
            </w:tcBorders>
            <w:shd w:val="clear" w:color="auto" w:fill="FFFFFF" w:themeFill="background1"/>
            <w:vAlign w:val="center"/>
          </w:tcPr>
          <w:p w:rsidR="00C949EE" w:rsidRPr="00C949EE" w:rsidRDefault="00C949EE" w:rsidP="00EB6402">
            <w:pPr>
              <w:spacing w:line="360" w:lineRule="auto"/>
              <w:jc w:val="center"/>
              <w:rPr>
                <w:rFonts w:cs="B Nazanin"/>
                <w:sz w:val="26"/>
                <w:szCs w:val="26"/>
              </w:rPr>
            </w:pPr>
            <w:r w:rsidRPr="00C949EE">
              <w:rPr>
                <w:rFonts w:cs="B Nazanin"/>
                <w:sz w:val="26"/>
                <w:szCs w:val="26"/>
                <w:lang w:val="en-GB"/>
              </w:rPr>
              <w:t>F</w:t>
            </w:r>
          </w:p>
        </w:tc>
      </w:tr>
      <w:tr w:rsidR="00C949EE" w:rsidRPr="001D3938" w:rsidTr="00EB6402">
        <w:trPr>
          <w:jc w:val="center"/>
        </w:trPr>
        <w:tc>
          <w:tcPr>
            <w:tcW w:w="3028" w:type="dxa"/>
            <w:tcBorders>
              <w:top w:val="single" w:sz="4" w:space="0" w:color="auto"/>
              <w:left w:val="nil"/>
              <w:bottom w:val="single" w:sz="4" w:space="0" w:color="auto"/>
              <w:right w:val="nil"/>
            </w:tcBorders>
            <w:vAlign w:val="center"/>
          </w:tcPr>
          <w:p w:rsidR="00C949EE" w:rsidRPr="001D3938" w:rsidRDefault="00C949EE" w:rsidP="00EB6402">
            <w:pPr>
              <w:rPr>
                <w:rFonts w:cs="B Nazanin"/>
                <w:sz w:val="26"/>
                <w:szCs w:val="26"/>
                <w:lang w:val="en-GB"/>
              </w:rPr>
            </w:pPr>
            <w:r w:rsidRPr="001D3938">
              <w:rPr>
                <w:rFonts w:cs="B Nazanin" w:hint="cs"/>
                <w:sz w:val="26"/>
                <w:szCs w:val="26"/>
                <w:rtl/>
                <w:lang w:val="en-GB"/>
              </w:rPr>
              <w:t>دانش فعلي مهندسان ناظر</w:t>
            </w:r>
            <w:r w:rsidRPr="001D3938">
              <w:rPr>
                <w:rFonts w:cs="B Nazanin"/>
                <w:sz w:val="26"/>
                <w:szCs w:val="26"/>
                <w:lang w:val="en-GB"/>
              </w:rPr>
              <w:t>x</w:t>
            </w:r>
            <w:r w:rsidRPr="001D3938">
              <w:rPr>
                <w:rFonts w:cs="B Nazanin"/>
                <w:sz w:val="26"/>
                <w:szCs w:val="26"/>
                <w:vertAlign w:val="subscript"/>
                <w:lang w:val="en-GB"/>
              </w:rPr>
              <w:t>1</w:t>
            </w:r>
          </w:p>
          <w:p w:rsidR="00C949EE" w:rsidRPr="001D3938" w:rsidRDefault="00C949EE" w:rsidP="00EB6402">
            <w:pPr>
              <w:rPr>
                <w:rFonts w:cs="B Nazanin"/>
                <w:sz w:val="26"/>
                <w:szCs w:val="26"/>
                <w:rtl/>
                <w:lang w:val="en-GB"/>
              </w:rPr>
            </w:pPr>
            <w:r w:rsidRPr="001D3938">
              <w:rPr>
                <w:rFonts w:cs="B Nazanin" w:hint="cs"/>
                <w:sz w:val="26"/>
                <w:szCs w:val="26"/>
                <w:rtl/>
                <w:lang w:val="en-GB"/>
              </w:rPr>
              <w:t>سطح تحصيلات</w:t>
            </w:r>
            <w:r w:rsidRPr="001D3938">
              <w:rPr>
                <w:rFonts w:cs="B Nazanin"/>
                <w:sz w:val="26"/>
                <w:szCs w:val="26"/>
                <w:lang w:val="en-GB"/>
              </w:rPr>
              <w:t>x</w:t>
            </w:r>
            <w:r w:rsidRPr="001D3938">
              <w:rPr>
                <w:rFonts w:cs="B Nazanin"/>
                <w:sz w:val="26"/>
                <w:szCs w:val="26"/>
                <w:vertAlign w:val="subscript"/>
                <w:lang w:val="en-GB"/>
              </w:rPr>
              <w:t>2</w:t>
            </w:r>
          </w:p>
          <w:p w:rsidR="00C949EE" w:rsidRPr="001D3938" w:rsidRDefault="00C949EE" w:rsidP="00EB6402">
            <w:pPr>
              <w:rPr>
                <w:rFonts w:cs="B Nazanin"/>
                <w:sz w:val="26"/>
                <w:szCs w:val="26"/>
                <w:rtl/>
                <w:lang w:val="en-GB"/>
              </w:rPr>
            </w:pPr>
            <w:r w:rsidRPr="001D3938">
              <w:rPr>
                <w:rFonts w:cs="B Nazanin" w:hint="cs"/>
                <w:sz w:val="26"/>
                <w:szCs w:val="26"/>
                <w:rtl/>
                <w:lang w:val="en-GB"/>
              </w:rPr>
              <w:t xml:space="preserve">استفاده از </w:t>
            </w:r>
            <w:r>
              <w:rPr>
                <w:rFonts w:cs="B Nazanin" w:hint="cs"/>
                <w:sz w:val="26"/>
                <w:szCs w:val="26"/>
                <w:rtl/>
                <w:lang w:val="en-GB"/>
              </w:rPr>
              <w:t>وسایل کمک آموزشی</w:t>
            </w:r>
            <w:r w:rsidRPr="001D3938">
              <w:rPr>
                <w:rFonts w:cs="B Nazanin"/>
                <w:sz w:val="26"/>
                <w:szCs w:val="26"/>
                <w:lang w:val="en-GB"/>
              </w:rPr>
              <w:t xml:space="preserve"> x</w:t>
            </w:r>
            <w:r w:rsidRPr="001D3938">
              <w:rPr>
                <w:rFonts w:cs="B Nazanin"/>
                <w:sz w:val="26"/>
                <w:szCs w:val="26"/>
                <w:vertAlign w:val="subscript"/>
                <w:lang w:val="en-GB"/>
              </w:rPr>
              <w:t>3</w:t>
            </w:r>
          </w:p>
          <w:p w:rsidR="00C949EE" w:rsidRPr="001D3938" w:rsidRDefault="00C949EE" w:rsidP="00EB6402">
            <w:pPr>
              <w:rPr>
                <w:rFonts w:cs="B Nazanin"/>
                <w:sz w:val="26"/>
                <w:szCs w:val="26"/>
                <w:rtl/>
                <w:lang w:val="en-GB"/>
              </w:rPr>
            </w:pPr>
            <w:r w:rsidRPr="001D3938">
              <w:rPr>
                <w:rFonts w:cs="B Nazanin" w:hint="cs"/>
                <w:sz w:val="26"/>
                <w:szCs w:val="26"/>
                <w:rtl/>
                <w:lang w:val="en-GB"/>
              </w:rPr>
              <w:t>تجربه کاري</w:t>
            </w:r>
            <w:r w:rsidRPr="001D3938">
              <w:rPr>
                <w:rFonts w:cs="B Nazanin"/>
                <w:sz w:val="26"/>
                <w:szCs w:val="26"/>
                <w:lang w:val="en-GB"/>
              </w:rPr>
              <w:t>x</w:t>
            </w:r>
            <w:r w:rsidRPr="001D3938">
              <w:rPr>
                <w:rFonts w:cs="B Nazanin"/>
                <w:sz w:val="26"/>
                <w:szCs w:val="26"/>
                <w:vertAlign w:val="subscript"/>
                <w:lang w:val="en-GB"/>
              </w:rPr>
              <w:t>4</w:t>
            </w:r>
          </w:p>
          <w:p w:rsidR="00C949EE" w:rsidRPr="001D3938" w:rsidRDefault="00C949EE" w:rsidP="00EB6402">
            <w:pPr>
              <w:rPr>
                <w:rFonts w:cs="B Nazanin"/>
                <w:sz w:val="26"/>
                <w:szCs w:val="26"/>
                <w:lang w:val="en-GB"/>
              </w:rPr>
            </w:pPr>
            <w:r>
              <w:rPr>
                <w:rFonts w:cs="B Nazanin" w:hint="cs"/>
                <w:sz w:val="26"/>
                <w:szCs w:val="26"/>
                <w:rtl/>
                <w:lang w:val="en-GB"/>
              </w:rPr>
              <w:t>ارتباط</w:t>
            </w:r>
            <w:r w:rsidRPr="001D3938">
              <w:rPr>
                <w:rFonts w:cs="B Nazanin" w:hint="cs"/>
                <w:sz w:val="26"/>
                <w:szCs w:val="26"/>
                <w:rtl/>
                <w:lang w:val="en-GB"/>
              </w:rPr>
              <w:t xml:space="preserve"> با </w:t>
            </w:r>
            <w:r>
              <w:rPr>
                <w:rFonts w:cs="B Nazanin" w:hint="cs"/>
                <w:sz w:val="26"/>
                <w:szCs w:val="26"/>
                <w:rtl/>
                <w:lang w:val="en-GB"/>
              </w:rPr>
              <w:t xml:space="preserve">سایر عاملان بخش کشاورزی </w:t>
            </w:r>
            <w:r w:rsidRPr="001D3938">
              <w:rPr>
                <w:rFonts w:cs="B Nazanin"/>
                <w:sz w:val="26"/>
                <w:szCs w:val="26"/>
                <w:lang w:val="en-GB"/>
              </w:rPr>
              <w:t>x</w:t>
            </w:r>
            <w:r w:rsidRPr="001D3938">
              <w:rPr>
                <w:rFonts w:cs="B Nazanin"/>
                <w:sz w:val="26"/>
                <w:szCs w:val="26"/>
                <w:vertAlign w:val="subscript"/>
                <w:lang w:val="en-GB"/>
              </w:rPr>
              <w:t>5</w:t>
            </w:r>
          </w:p>
        </w:tc>
        <w:tc>
          <w:tcPr>
            <w:tcW w:w="1925" w:type="dxa"/>
            <w:tcBorders>
              <w:top w:val="single" w:sz="4" w:space="0" w:color="auto"/>
              <w:left w:val="nil"/>
              <w:bottom w:val="single" w:sz="4" w:space="0" w:color="auto"/>
              <w:right w:val="nil"/>
            </w:tcBorders>
          </w:tcPr>
          <w:p w:rsidR="00C949EE" w:rsidRPr="001D3938" w:rsidRDefault="00C949EE" w:rsidP="00EB6402">
            <w:pPr>
              <w:jc w:val="center"/>
              <w:rPr>
                <w:rFonts w:cs="B Nazanin"/>
                <w:sz w:val="26"/>
                <w:szCs w:val="26"/>
                <w:lang w:val="en-GB"/>
              </w:rPr>
            </w:pPr>
            <w:r w:rsidRPr="001D3938">
              <w:rPr>
                <w:rFonts w:cs="B Nazanin" w:hint="cs"/>
                <w:sz w:val="26"/>
                <w:szCs w:val="26"/>
                <w:rtl/>
                <w:lang w:val="en-GB"/>
              </w:rPr>
              <w:t>341/0</w:t>
            </w:r>
          </w:p>
          <w:p w:rsidR="00C949EE" w:rsidRPr="001D3938" w:rsidRDefault="00C949EE" w:rsidP="00EB6402">
            <w:pPr>
              <w:jc w:val="center"/>
              <w:rPr>
                <w:rFonts w:cs="B Nazanin"/>
                <w:sz w:val="26"/>
                <w:szCs w:val="26"/>
                <w:rtl/>
                <w:lang w:val="en-GB"/>
              </w:rPr>
            </w:pPr>
            <w:r w:rsidRPr="001D3938">
              <w:rPr>
                <w:rFonts w:cs="B Nazanin" w:hint="cs"/>
                <w:sz w:val="26"/>
                <w:szCs w:val="26"/>
                <w:rtl/>
                <w:lang w:val="en-GB"/>
              </w:rPr>
              <w:t>46/1</w:t>
            </w:r>
          </w:p>
          <w:p w:rsidR="00C949EE" w:rsidRPr="001D3938" w:rsidRDefault="00C949EE" w:rsidP="00EB6402">
            <w:pPr>
              <w:jc w:val="center"/>
              <w:rPr>
                <w:rFonts w:cs="B Nazanin"/>
                <w:sz w:val="26"/>
                <w:szCs w:val="26"/>
                <w:rtl/>
                <w:lang w:val="en-GB"/>
              </w:rPr>
            </w:pPr>
            <w:r w:rsidRPr="001D3938">
              <w:rPr>
                <w:rFonts w:cs="B Nazanin" w:hint="cs"/>
                <w:sz w:val="26"/>
                <w:szCs w:val="26"/>
                <w:rtl/>
                <w:lang w:val="en-GB"/>
              </w:rPr>
              <w:t>221/0</w:t>
            </w:r>
          </w:p>
          <w:p w:rsidR="00C949EE" w:rsidRPr="001D3938" w:rsidRDefault="00C949EE" w:rsidP="00EB6402">
            <w:pPr>
              <w:jc w:val="center"/>
              <w:rPr>
                <w:rFonts w:cs="B Nazanin"/>
                <w:sz w:val="26"/>
                <w:szCs w:val="26"/>
                <w:rtl/>
                <w:lang w:val="en-GB"/>
              </w:rPr>
            </w:pPr>
            <w:r w:rsidRPr="001D3938">
              <w:rPr>
                <w:rFonts w:cs="B Nazanin" w:hint="cs"/>
                <w:sz w:val="26"/>
                <w:szCs w:val="26"/>
                <w:rtl/>
                <w:lang w:val="en-GB"/>
              </w:rPr>
              <w:t>157/0</w:t>
            </w:r>
          </w:p>
          <w:p w:rsidR="00C949EE" w:rsidRPr="001D3938" w:rsidRDefault="00C949EE" w:rsidP="00EB6402">
            <w:pPr>
              <w:jc w:val="center"/>
              <w:rPr>
                <w:rFonts w:cs="B Nazanin"/>
                <w:sz w:val="26"/>
                <w:szCs w:val="26"/>
                <w:lang w:val="en-GB"/>
              </w:rPr>
            </w:pPr>
            <w:r w:rsidRPr="001D3938">
              <w:rPr>
                <w:rFonts w:cs="B Nazanin" w:hint="cs"/>
                <w:sz w:val="26"/>
                <w:szCs w:val="26"/>
                <w:rtl/>
                <w:lang w:val="en-GB"/>
              </w:rPr>
              <w:t>121/0</w:t>
            </w:r>
          </w:p>
        </w:tc>
        <w:tc>
          <w:tcPr>
            <w:tcW w:w="717" w:type="dxa"/>
            <w:tcBorders>
              <w:top w:val="single" w:sz="4" w:space="0" w:color="auto"/>
              <w:left w:val="nil"/>
              <w:bottom w:val="single" w:sz="4" w:space="0" w:color="auto"/>
              <w:right w:val="nil"/>
            </w:tcBorders>
          </w:tcPr>
          <w:p w:rsidR="00C949EE" w:rsidRPr="001D3938" w:rsidRDefault="00C949EE" w:rsidP="00EB6402">
            <w:pPr>
              <w:jc w:val="center"/>
              <w:rPr>
                <w:rFonts w:cs="B Nazanin"/>
                <w:sz w:val="26"/>
                <w:szCs w:val="26"/>
                <w:lang w:val="en-GB"/>
              </w:rPr>
            </w:pPr>
          </w:p>
          <w:p w:rsidR="00C949EE" w:rsidRPr="001D3938" w:rsidRDefault="00C949EE" w:rsidP="00EB6402">
            <w:pPr>
              <w:jc w:val="center"/>
              <w:rPr>
                <w:rFonts w:cs="B Nazanin"/>
                <w:sz w:val="26"/>
                <w:szCs w:val="26"/>
                <w:rtl/>
                <w:lang w:val="en-GB"/>
              </w:rPr>
            </w:pPr>
          </w:p>
          <w:p w:rsidR="00C949EE" w:rsidRPr="001D3938" w:rsidRDefault="00C949EE" w:rsidP="00EB6402">
            <w:pPr>
              <w:jc w:val="center"/>
              <w:rPr>
                <w:rFonts w:cs="B Nazanin"/>
                <w:sz w:val="26"/>
                <w:szCs w:val="26"/>
                <w:lang w:val="en-GB"/>
              </w:rPr>
            </w:pPr>
            <w:r w:rsidRPr="001D3938">
              <w:rPr>
                <w:rFonts w:cs="B Nazanin" w:hint="cs"/>
                <w:sz w:val="26"/>
                <w:szCs w:val="26"/>
                <w:rtl/>
                <w:lang w:val="en-GB"/>
              </w:rPr>
              <w:t>57/0</w:t>
            </w:r>
          </w:p>
        </w:tc>
        <w:tc>
          <w:tcPr>
            <w:tcW w:w="1233" w:type="dxa"/>
            <w:tcBorders>
              <w:top w:val="single" w:sz="4" w:space="0" w:color="auto"/>
              <w:left w:val="nil"/>
              <w:bottom w:val="single" w:sz="4" w:space="0" w:color="auto"/>
              <w:right w:val="nil"/>
            </w:tcBorders>
          </w:tcPr>
          <w:p w:rsidR="00C949EE" w:rsidRPr="001D3938" w:rsidRDefault="00C949EE" w:rsidP="00EB6402">
            <w:pPr>
              <w:spacing w:line="360" w:lineRule="auto"/>
              <w:jc w:val="center"/>
              <w:rPr>
                <w:rFonts w:cs="B Nazanin"/>
                <w:sz w:val="26"/>
                <w:szCs w:val="26"/>
                <w:lang w:val="en-GB"/>
              </w:rPr>
            </w:pPr>
          </w:p>
          <w:p w:rsidR="00C949EE" w:rsidRPr="001D3938" w:rsidRDefault="00C949EE" w:rsidP="00EB6402">
            <w:pPr>
              <w:spacing w:line="360" w:lineRule="auto"/>
              <w:jc w:val="center"/>
              <w:rPr>
                <w:rFonts w:cs="B Nazanin"/>
                <w:sz w:val="26"/>
                <w:szCs w:val="26"/>
                <w:rtl/>
                <w:lang w:val="en-GB"/>
              </w:rPr>
            </w:pPr>
          </w:p>
          <w:p w:rsidR="00C949EE" w:rsidRPr="001D3938" w:rsidRDefault="00C949EE" w:rsidP="00EB6402">
            <w:pPr>
              <w:spacing w:line="360" w:lineRule="auto"/>
              <w:jc w:val="center"/>
              <w:rPr>
                <w:rFonts w:cs="B Nazanin"/>
                <w:sz w:val="26"/>
                <w:szCs w:val="26"/>
                <w:rtl/>
                <w:lang w:val="en-GB"/>
              </w:rPr>
            </w:pPr>
            <w:r w:rsidRPr="001D3938">
              <w:rPr>
                <w:rFonts w:cs="B Nazanin" w:hint="cs"/>
                <w:sz w:val="26"/>
                <w:szCs w:val="26"/>
                <w:rtl/>
                <w:lang w:val="en-GB"/>
              </w:rPr>
              <w:t>*98/26</w:t>
            </w:r>
          </w:p>
          <w:p w:rsidR="00C949EE" w:rsidRPr="001D3938" w:rsidRDefault="00C949EE" w:rsidP="00EB6402">
            <w:pPr>
              <w:spacing w:line="360" w:lineRule="auto"/>
              <w:jc w:val="center"/>
              <w:rPr>
                <w:rFonts w:cs="B Nazanin"/>
                <w:sz w:val="26"/>
                <w:szCs w:val="26"/>
                <w:lang w:val="en-GB" w:bidi="fa-IR"/>
              </w:rPr>
            </w:pPr>
          </w:p>
        </w:tc>
      </w:tr>
    </w:tbl>
    <w:p w:rsidR="00C949EE" w:rsidRPr="001D3938" w:rsidRDefault="00C949EE" w:rsidP="00C949EE">
      <w:pPr>
        <w:spacing w:line="360" w:lineRule="auto"/>
        <w:ind w:left="425"/>
        <w:jc w:val="lowKashida"/>
        <w:rPr>
          <w:rFonts w:cs="B Nazanin"/>
          <w:sz w:val="26"/>
          <w:szCs w:val="26"/>
          <w:rtl/>
          <w:lang w:val="en-GB" w:eastAsia="x-none" w:bidi="fa-IR"/>
        </w:rPr>
      </w:pPr>
      <w:r w:rsidRPr="001D3938">
        <w:rPr>
          <w:rFonts w:cs="B Nazanin" w:hint="cs"/>
          <w:sz w:val="26"/>
          <w:szCs w:val="26"/>
          <w:rtl/>
          <w:lang w:val="en-GB" w:eastAsia="x-none" w:bidi="fa-IR"/>
        </w:rPr>
        <w:t xml:space="preserve">         </w:t>
      </w:r>
      <w:r w:rsidRPr="001D3938">
        <w:rPr>
          <w:rFonts w:cs="Calibri"/>
          <w:sz w:val="26"/>
          <w:szCs w:val="26"/>
          <w:rtl/>
          <w:lang w:val="en-GB" w:eastAsia="x-none" w:bidi="fa-IR"/>
        </w:rPr>
        <w:t>*</w:t>
      </w:r>
      <w:r w:rsidRPr="001D3938">
        <w:rPr>
          <w:rFonts w:cs="B Nazanin" w:hint="cs"/>
          <w:sz w:val="26"/>
          <w:szCs w:val="26"/>
          <w:rtl/>
          <w:lang w:val="en-GB" w:eastAsia="x-none" w:bidi="fa-IR"/>
        </w:rPr>
        <w:t xml:space="preserve"> = 1% خطا </w:t>
      </w:r>
    </w:p>
    <w:p w:rsidR="00D05DDF" w:rsidRPr="008E1801" w:rsidRDefault="00C949EE" w:rsidP="00C949EE">
      <w:pPr>
        <w:rPr>
          <w:rFonts w:cs="B Nazanin"/>
          <w:noProof/>
          <w:rtl/>
        </w:rPr>
      </w:pPr>
      <w:r w:rsidRPr="001D3938">
        <w:rPr>
          <w:rFonts w:cs="B Nazanin" w:hint="cs"/>
          <w:sz w:val="26"/>
          <w:szCs w:val="26"/>
          <w:rtl/>
          <w:lang w:val="en-GB" w:eastAsia="x-none" w:bidi="fa-IR"/>
        </w:rPr>
        <w:tab/>
      </w:r>
      <w:r w:rsidRPr="001D3938">
        <w:rPr>
          <w:rFonts w:cs="B Nazanin" w:hint="cs"/>
          <w:sz w:val="26"/>
          <w:szCs w:val="26"/>
          <w:rtl/>
          <w:lang w:val="en-GB" w:eastAsia="x-none" w:bidi="fa-IR"/>
        </w:rPr>
        <w:tab/>
        <w:t>60/4</w:t>
      </w:r>
      <w:r w:rsidRPr="001D3938">
        <w:rPr>
          <w:rFonts w:cs="B Nazanin" w:hint="cs"/>
          <w:sz w:val="26"/>
          <w:szCs w:val="26"/>
          <w:lang w:val="en-GB" w:eastAsia="x-none" w:bidi="fa-IR"/>
        </w:rPr>
        <w:t xml:space="preserve"> </w:t>
      </w:r>
      <w:r w:rsidRPr="001D3938">
        <w:rPr>
          <w:rFonts w:cs="B Nazanin" w:hint="cs"/>
          <w:sz w:val="26"/>
          <w:szCs w:val="26"/>
          <w:rtl/>
          <w:lang w:val="en-GB" w:eastAsia="x-none" w:bidi="fa-IR"/>
        </w:rPr>
        <w:t xml:space="preserve">- </w:t>
      </w:r>
      <w:r w:rsidRPr="001D3938">
        <w:rPr>
          <w:rFonts w:cs="B Nazanin"/>
          <w:sz w:val="26"/>
          <w:szCs w:val="26"/>
          <w:lang w:val="en-GB" w:eastAsia="x-none" w:bidi="fa-IR"/>
        </w:rPr>
        <w:t xml:space="preserve"> x</w:t>
      </w:r>
      <w:r w:rsidRPr="001D3938">
        <w:rPr>
          <w:rFonts w:cs="B Nazanin"/>
          <w:sz w:val="26"/>
          <w:szCs w:val="26"/>
          <w:vertAlign w:val="subscript"/>
          <w:lang w:val="en-GB" w:eastAsia="x-none" w:bidi="fa-IR"/>
        </w:rPr>
        <w:t>5</w:t>
      </w:r>
      <w:r w:rsidRPr="001D3938">
        <w:rPr>
          <w:rFonts w:cs="B Nazanin" w:hint="cs"/>
          <w:sz w:val="26"/>
          <w:szCs w:val="26"/>
          <w:rtl/>
          <w:lang w:val="en-GB" w:eastAsia="x-none" w:bidi="fa-IR"/>
        </w:rPr>
        <w:t xml:space="preserve"> 12/0</w:t>
      </w:r>
      <w:r w:rsidRPr="001D3938">
        <w:rPr>
          <w:rFonts w:cs="B Nazanin" w:hint="cs"/>
          <w:sz w:val="26"/>
          <w:szCs w:val="26"/>
          <w:lang w:val="en-GB" w:eastAsia="x-none" w:bidi="fa-IR"/>
        </w:rPr>
        <w:t xml:space="preserve"> </w:t>
      </w:r>
      <w:r w:rsidRPr="001D3938">
        <w:rPr>
          <w:rFonts w:cs="B Nazanin" w:hint="cs"/>
          <w:sz w:val="26"/>
          <w:szCs w:val="26"/>
          <w:rtl/>
          <w:lang w:val="en-GB" w:eastAsia="x-none" w:bidi="fa-IR"/>
        </w:rPr>
        <w:t>+</w:t>
      </w:r>
      <w:r w:rsidRPr="001D3938">
        <w:rPr>
          <w:rFonts w:cs="B Nazanin"/>
          <w:sz w:val="26"/>
          <w:szCs w:val="26"/>
          <w:lang w:val="en-GB" w:eastAsia="x-none" w:bidi="fa-IR"/>
        </w:rPr>
        <w:t>x</w:t>
      </w:r>
      <w:r w:rsidRPr="001D3938">
        <w:rPr>
          <w:rFonts w:cs="B Nazanin"/>
          <w:sz w:val="26"/>
          <w:szCs w:val="26"/>
          <w:vertAlign w:val="subscript"/>
          <w:lang w:val="en-GB" w:eastAsia="x-none" w:bidi="fa-IR"/>
        </w:rPr>
        <w:t>4</w:t>
      </w:r>
      <w:r w:rsidRPr="001D3938">
        <w:rPr>
          <w:rFonts w:cs="B Nazanin" w:hint="cs"/>
          <w:sz w:val="26"/>
          <w:szCs w:val="26"/>
          <w:rtl/>
          <w:lang w:val="en-GB" w:eastAsia="x-none" w:bidi="fa-IR"/>
        </w:rPr>
        <w:t xml:space="preserve"> 15/0+ </w:t>
      </w:r>
      <w:r w:rsidRPr="001D3938">
        <w:rPr>
          <w:rFonts w:cs="B Nazanin"/>
          <w:sz w:val="26"/>
          <w:szCs w:val="26"/>
          <w:lang w:val="en-GB" w:eastAsia="x-none" w:bidi="fa-IR"/>
        </w:rPr>
        <w:t>x</w:t>
      </w:r>
      <w:r w:rsidRPr="001D3938">
        <w:rPr>
          <w:rFonts w:cs="B Nazanin"/>
          <w:sz w:val="26"/>
          <w:szCs w:val="26"/>
          <w:vertAlign w:val="subscript"/>
          <w:lang w:val="en-GB" w:eastAsia="x-none" w:bidi="fa-IR"/>
        </w:rPr>
        <w:t>3</w:t>
      </w:r>
      <w:r w:rsidRPr="001D3938">
        <w:rPr>
          <w:rFonts w:cs="B Nazanin" w:hint="cs"/>
          <w:sz w:val="26"/>
          <w:szCs w:val="26"/>
          <w:rtl/>
          <w:lang w:val="en-GB" w:eastAsia="x-none" w:bidi="fa-IR"/>
        </w:rPr>
        <w:t xml:space="preserve">22/0  + </w:t>
      </w:r>
      <w:r w:rsidRPr="001D3938">
        <w:rPr>
          <w:rFonts w:cs="B Nazanin"/>
          <w:sz w:val="26"/>
          <w:szCs w:val="26"/>
          <w:lang w:val="en-GB" w:eastAsia="x-none" w:bidi="fa-IR"/>
        </w:rPr>
        <w:t>x</w:t>
      </w:r>
      <w:r w:rsidRPr="001D3938">
        <w:rPr>
          <w:rFonts w:cs="B Nazanin"/>
          <w:sz w:val="26"/>
          <w:szCs w:val="26"/>
          <w:vertAlign w:val="subscript"/>
          <w:lang w:val="en-GB" w:eastAsia="x-none" w:bidi="fa-IR"/>
        </w:rPr>
        <w:t>2</w:t>
      </w:r>
      <w:r w:rsidRPr="001D3938">
        <w:rPr>
          <w:rFonts w:cs="B Nazanin" w:hint="cs"/>
          <w:sz w:val="26"/>
          <w:szCs w:val="26"/>
          <w:rtl/>
          <w:lang w:val="en-GB" w:eastAsia="x-none" w:bidi="fa-IR"/>
        </w:rPr>
        <w:t>46/1</w:t>
      </w:r>
      <w:r w:rsidRPr="001D3938">
        <w:rPr>
          <w:rFonts w:cs="B Nazanin"/>
          <w:sz w:val="26"/>
          <w:szCs w:val="26"/>
          <w:lang w:val="en-GB" w:eastAsia="x-none" w:bidi="fa-IR"/>
        </w:rPr>
        <w:t xml:space="preserve"> x</w:t>
      </w:r>
      <w:r w:rsidRPr="001D3938">
        <w:rPr>
          <w:rFonts w:cs="B Nazanin"/>
          <w:sz w:val="26"/>
          <w:szCs w:val="26"/>
          <w:vertAlign w:val="subscript"/>
          <w:lang w:val="en-GB" w:eastAsia="x-none" w:bidi="fa-IR"/>
        </w:rPr>
        <w:t xml:space="preserve">1    +   </w:t>
      </w:r>
      <w:r w:rsidRPr="001D3938">
        <w:rPr>
          <w:rFonts w:cs="B Nazanin" w:hint="cs"/>
          <w:sz w:val="26"/>
          <w:szCs w:val="26"/>
          <w:rtl/>
          <w:lang w:val="en-GB" w:eastAsia="x-none" w:bidi="fa-IR"/>
        </w:rPr>
        <w:t xml:space="preserve">34/0 = </w:t>
      </w:r>
      <w:r w:rsidRPr="001D3938">
        <w:rPr>
          <w:rFonts w:cs="B Nazanin"/>
          <w:sz w:val="26"/>
          <w:szCs w:val="26"/>
          <w:lang w:val="en-GB" w:eastAsia="x-none" w:bidi="fa-IR"/>
        </w:rPr>
        <w:t>Y</w:t>
      </w:r>
      <w:r w:rsidRPr="001D3938">
        <w:rPr>
          <w:rFonts w:cs="B Nazanin" w:hint="cs"/>
          <w:sz w:val="26"/>
          <w:szCs w:val="26"/>
          <w:rtl/>
          <w:lang w:val="en-GB" w:eastAsia="x-none" w:bidi="fa-IR"/>
        </w:rPr>
        <w:t xml:space="preserve">  </w:t>
      </w:r>
    </w:p>
    <w:p w:rsidR="00D05DDF" w:rsidRPr="008E1801" w:rsidRDefault="00D05DDF">
      <w:pPr>
        <w:rPr>
          <w:rFonts w:cs="B Nazanin"/>
          <w:noProof/>
          <w:rtl/>
        </w:rPr>
      </w:pPr>
    </w:p>
    <w:p w:rsidR="00D05DDF" w:rsidRPr="008E1801" w:rsidRDefault="00D05DDF">
      <w:pPr>
        <w:rPr>
          <w:rFonts w:cs="B Nazanin"/>
          <w:noProof/>
          <w:rtl/>
        </w:rPr>
      </w:pPr>
    </w:p>
    <w:p w:rsidR="00C949EE" w:rsidRPr="00581D50" w:rsidRDefault="00C949EE" w:rsidP="00C949EE">
      <w:pPr>
        <w:spacing w:line="360" w:lineRule="auto"/>
        <w:jc w:val="lowKashida"/>
        <w:rPr>
          <w:rFonts w:cs="B Nazanin"/>
          <w:b/>
          <w:bCs/>
          <w:sz w:val="26"/>
          <w:szCs w:val="26"/>
          <w:rtl/>
          <w:lang w:val="en-GB" w:eastAsia="x-none" w:bidi="fa-IR"/>
        </w:rPr>
      </w:pPr>
      <w:r w:rsidRPr="00581D50">
        <w:rPr>
          <w:rFonts w:cs="B Nazanin" w:hint="cs"/>
          <w:b/>
          <w:bCs/>
          <w:sz w:val="26"/>
          <w:szCs w:val="26"/>
          <w:rtl/>
          <w:lang w:val="en-GB" w:eastAsia="x-none" w:bidi="fa-IR"/>
        </w:rPr>
        <w:t>نتیجه گیری و پیشنهادات</w:t>
      </w:r>
    </w:p>
    <w:p w:rsidR="00C949EE" w:rsidRPr="00581D50" w:rsidRDefault="00C949EE" w:rsidP="00C949EE">
      <w:pPr>
        <w:jc w:val="lowKashida"/>
        <w:rPr>
          <w:rFonts w:cs="B Nazanin"/>
          <w:rtl/>
          <w:lang w:val="en-GB" w:eastAsia="x-none" w:bidi="fa-IR"/>
        </w:rPr>
      </w:pPr>
      <w:r w:rsidRPr="00581D50">
        <w:rPr>
          <w:rFonts w:cs="B Nazanin" w:hint="cs"/>
          <w:rtl/>
          <w:lang w:val="en-GB" w:eastAsia="x-none" w:bidi="fa-IR"/>
        </w:rPr>
        <w:t xml:space="preserve">طبق نتایج تحقیق هر چقدر </w:t>
      </w:r>
      <w:r w:rsidRPr="00C949EE">
        <w:rPr>
          <w:rFonts w:cs="B Nazanin" w:hint="cs"/>
          <w:rtl/>
          <w:lang w:val="en-GB" w:eastAsia="x-none" w:bidi="fa-IR"/>
        </w:rPr>
        <w:t>ارتباط مشاوران بخش خصوصی کشاورزی با عاملات درگیر در چرخه آموزش کشاورزی مانند محققان و سایر آموزشگران ترویجی</w:t>
      </w:r>
      <w:r w:rsidRPr="00581D50">
        <w:rPr>
          <w:rFonts w:cs="B Nazanin" w:hint="cs"/>
          <w:rtl/>
          <w:lang w:val="en-GB" w:eastAsia="x-none" w:bidi="fa-IR"/>
        </w:rPr>
        <w:t xml:space="preserve"> بیشتر باشد ، باعث آموزش بهتر </w:t>
      </w:r>
      <w:r w:rsidRPr="00C949EE">
        <w:rPr>
          <w:rFonts w:cs="B Nazanin" w:hint="cs"/>
          <w:rtl/>
          <w:lang w:val="en-GB" w:eastAsia="x-none" w:bidi="fa-IR"/>
        </w:rPr>
        <w:t>مشاوران</w:t>
      </w:r>
      <w:r w:rsidRPr="00581D50">
        <w:rPr>
          <w:rFonts w:cs="B Nazanin" w:hint="cs"/>
          <w:rtl/>
          <w:lang w:val="en-GB" w:eastAsia="x-none" w:bidi="fa-IR"/>
        </w:rPr>
        <w:t xml:space="preserve"> به کشاورزان به منظور</w:t>
      </w:r>
      <w:r w:rsidRPr="00C949EE">
        <w:rPr>
          <w:rFonts w:cs="B Nazanin" w:hint="cs"/>
          <w:rtl/>
          <w:lang w:val="en-GB" w:eastAsia="x-none" w:bidi="fa-IR"/>
        </w:rPr>
        <w:t xml:space="preserve">توسعه مدیریت پایدار مزارع </w:t>
      </w:r>
      <w:r w:rsidRPr="00581D50">
        <w:rPr>
          <w:rFonts w:cs="B Nazanin" w:hint="cs"/>
          <w:rtl/>
          <w:lang w:val="en-GB" w:eastAsia="x-none" w:bidi="fa-IR"/>
        </w:rPr>
        <w:t xml:space="preserve">می شود. از آنجا که دانش و مهارت محققان در زمینه استفاده از روشهای توسعه پایدار و آشنایی آنها با شیوه های نوین به دلیل انجام کارهای تحقیقاتی و آزمایشگاهی در مراکز تحقیقاتی بیشتر است باعث اثربخشی بیشتر فعالیتهای </w:t>
      </w:r>
      <w:r w:rsidRPr="00C949EE">
        <w:rPr>
          <w:rFonts w:cs="B Nazanin" w:hint="cs"/>
          <w:rtl/>
          <w:lang w:val="en-GB" w:eastAsia="x-none" w:bidi="fa-IR"/>
        </w:rPr>
        <w:t>مشاوران بخش خصوصی کشاورزی</w:t>
      </w:r>
      <w:r w:rsidRPr="00581D50">
        <w:rPr>
          <w:rFonts w:cs="B Nazanin" w:hint="cs"/>
          <w:rtl/>
          <w:lang w:val="en-GB" w:eastAsia="x-none" w:bidi="fa-IR"/>
        </w:rPr>
        <w:t xml:space="preserve"> می شود. بنابراین ارتباط بیشتر بین تحقیقات و بخش ترویج ضروری است زیرا باعث شناسایی مشکلات کشاورزان در </w:t>
      </w:r>
      <w:r w:rsidRPr="00C949EE">
        <w:rPr>
          <w:rFonts w:cs="B Nazanin" w:hint="cs"/>
          <w:rtl/>
          <w:lang w:val="en-GB" w:eastAsia="x-none" w:bidi="fa-IR"/>
        </w:rPr>
        <w:t>ترویج و توسعه مدیریت پایدار مزارع</w:t>
      </w:r>
      <w:r w:rsidRPr="00581D50">
        <w:rPr>
          <w:rFonts w:cs="B Nazanin" w:hint="cs"/>
          <w:rtl/>
          <w:lang w:val="en-GB" w:eastAsia="x-none" w:bidi="fa-IR"/>
        </w:rPr>
        <w:t xml:space="preserve"> شده و از طریق روش های آموزشی انفرادی و گروهی راه حل های مناسبتری برای حل مشکلات آنها ارائه گردد.</w:t>
      </w:r>
    </w:p>
    <w:p w:rsidR="00C949EE" w:rsidRPr="00581D50" w:rsidRDefault="00C949EE" w:rsidP="00C949EE">
      <w:pPr>
        <w:jc w:val="lowKashida"/>
        <w:rPr>
          <w:rFonts w:cs="B Nazanin"/>
          <w:rtl/>
          <w:lang w:val="en-GB" w:eastAsia="x-none" w:bidi="fa-IR"/>
        </w:rPr>
      </w:pPr>
      <w:r w:rsidRPr="00581D50">
        <w:rPr>
          <w:rFonts w:cs="B Nazanin" w:hint="cs"/>
          <w:rtl/>
          <w:lang w:val="en-GB" w:eastAsia="x-none" w:bidi="fa-IR"/>
        </w:rPr>
        <w:t xml:space="preserve">استفاده از وسایل کمک آموزشی، آموزش گروهی و انفرادی به منظور کمک به کشاورزان در </w:t>
      </w:r>
      <w:r w:rsidRPr="00C949EE">
        <w:rPr>
          <w:rFonts w:cs="B Nazanin" w:hint="cs"/>
          <w:rtl/>
          <w:lang w:val="en-GB" w:eastAsia="x-none" w:bidi="fa-IR"/>
        </w:rPr>
        <w:t>ترویج و توسعه مدیریت پایدار مزارع</w:t>
      </w:r>
      <w:r w:rsidRPr="00581D50">
        <w:rPr>
          <w:rFonts w:cs="B Nazanin" w:hint="cs"/>
          <w:rtl/>
          <w:lang w:val="en-GB" w:eastAsia="x-none" w:bidi="fa-IR"/>
        </w:rPr>
        <w:t xml:space="preserve"> می تواند موثر باشد. همچنین مهندسان ناظر برای رواج و استفاده از روش های کشت پایدار از یکپارچه سازی اراضی، کشت مخلوط به جای کشت </w:t>
      </w:r>
      <w:r w:rsidRPr="00581D50">
        <w:rPr>
          <w:rFonts w:cs="B Nazanin" w:hint="cs"/>
          <w:rtl/>
          <w:lang w:val="en-GB" w:eastAsia="x-none" w:bidi="fa-IR"/>
        </w:rPr>
        <w:lastRenderedPageBreak/>
        <w:t>تک محصولی، شخم حفاظتی و شخم کم عمق، شیوه های خاکورزی، روشهای بیولوژیک و مکانیکی برای کنترل آفات و بیماریها در مزارع استفاده بیشتری نمایند. از آنجا که در ارائه آموزش های کشاورزی پایدار استفاده از روش های گروهی و عملی نقش مهمی در آگاهی کشاورزان درباره اصول ومبانی کشاورزی پایدار دارد، فراهم کردن تجهیزات لازم و امکانات مناسب برای برگزاری کارگاهها و فیلم های آموزشی می تواند باعث افزایش استفاده کارشناسان از این روش ها شود، همچنین بحث های گروهی و روش های آموزشی دیداری باعث می شود تا کشاورزان از مزایای فعالیت های مختلف استفاده شده در کشت پایدار آگاه شده و در نتیجه این روش ها را در مزارع خود امتحان کنند.</w:t>
      </w:r>
    </w:p>
    <w:p w:rsidR="00C949EE" w:rsidRPr="00C949EE" w:rsidRDefault="00C949EE" w:rsidP="00C949EE">
      <w:pPr>
        <w:jc w:val="lowKashida"/>
        <w:rPr>
          <w:rFonts w:cs="B Nazanin"/>
          <w:rtl/>
          <w:lang w:bidi="fa-IR"/>
        </w:rPr>
      </w:pPr>
      <w:r w:rsidRPr="00C949EE">
        <w:rPr>
          <w:rFonts w:cs="B Nazanin" w:hint="cs"/>
          <w:rtl/>
        </w:rPr>
        <w:t>از آنجا که دانش مشاوران کشاورزی  و سطح تحصیلات آنها در توسعه شيوه هاي كشت پایدار به کشاورزان  نقش دارد نیاز به آموزش و برگزاری همایش های علمی و تبادل اطلاعات و تجارب میان آنها و برقراری رابطه بیشتر با محققان کشاورزی محسوس است. زیرا پیش نیاز اصلی کشاورزی پایدار فراهم نمودن زمینه فرایند مشارکتی بین مراکزتحقیقاتی و ترویج است تا امکان برگزاری دوره های آموزشی تخصصی تر و حرفه ای مهیا گردد و از طریق تسهیل تعاملات بین عاملان خدمات مشاوره ای کشاورزی امکان تبادل دوسویه دانش و انتقال مسائل و مشکلات کشاورزان در خصوص روش های کشت پایدار فراهم گردد. همچنين با برگزاري جلسات مستمر بين كارشناسان جهاد كشاورزي و مشاوران کشاورزی در بخش خصوصی ميزان اين ارتباط بيشتر شود.</w:t>
      </w:r>
    </w:p>
    <w:p w:rsidR="00C949EE" w:rsidRDefault="00C949EE" w:rsidP="00C949EE">
      <w:pPr>
        <w:jc w:val="lowKashida"/>
        <w:rPr>
          <w:rFonts w:cs="B Nazanin"/>
          <w:b/>
          <w:bCs/>
          <w:sz w:val="20"/>
          <w:szCs w:val="20"/>
          <w:rtl/>
          <w:lang w:bidi="fa-IR"/>
        </w:rPr>
      </w:pPr>
    </w:p>
    <w:p w:rsidR="00C949EE" w:rsidRDefault="00C949EE" w:rsidP="00C949EE">
      <w:pPr>
        <w:jc w:val="lowKashida"/>
        <w:rPr>
          <w:rFonts w:cs="B Nazanin"/>
          <w:b/>
          <w:bCs/>
          <w:sz w:val="20"/>
          <w:szCs w:val="20"/>
          <w:rtl/>
          <w:lang w:bidi="fa-IR"/>
        </w:rPr>
      </w:pPr>
    </w:p>
    <w:p w:rsidR="00C949EE" w:rsidRPr="00001DEC" w:rsidRDefault="00C949EE" w:rsidP="00C949EE">
      <w:pPr>
        <w:bidi w:val="0"/>
        <w:jc w:val="lowKashida"/>
        <w:rPr>
          <w:rFonts w:cs="B Nazanin"/>
          <w:sz w:val="20"/>
          <w:szCs w:val="20"/>
          <w:rtl/>
          <w:lang w:val="en-GB" w:eastAsia="x-none" w:bidi="fa-IR"/>
        </w:rPr>
      </w:pPr>
      <w:r w:rsidRPr="00001DEC">
        <w:rPr>
          <w:rFonts w:cs="B Nazanin"/>
          <w:sz w:val="20"/>
          <w:szCs w:val="20"/>
          <w:lang w:val="en-GB" w:eastAsia="x-none" w:bidi="fa-IR"/>
        </w:rPr>
        <w:t xml:space="preserve">Anonymous(2003).Predict of future wheat situation in Iran.Available at </w:t>
      </w:r>
      <w:hyperlink r:id="rId10" w:history="1">
        <w:r w:rsidRPr="00001DEC">
          <w:rPr>
            <w:rFonts w:cs="B Nazanin"/>
            <w:color w:val="0000FF"/>
            <w:sz w:val="20"/>
            <w:szCs w:val="20"/>
            <w:lang w:val="en-GB" w:eastAsia="x-none" w:bidi="fa-IR"/>
          </w:rPr>
          <w:t>www.iranwheat.ir</w:t>
        </w:r>
      </w:hyperlink>
      <w:r w:rsidRPr="00001DEC">
        <w:rPr>
          <w:rFonts w:cs="B Nazanin"/>
          <w:sz w:val="20"/>
          <w:szCs w:val="20"/>
          <w:lang w:val="en-GB" w:eastAsia="x-none" w:bidi="fa-IR"/>
        </w:rPr>
        <w:t>. In farsi</w:t>
      </w:r>
    </w:p>
    <w:p w:rsidR="00C949EE" w:rsidRDefault="00C949EE" w:rsidP="00C949EE">
      <w:pPr>
        <w:bidi w:val="0"/>
        <w:jc w:val="lowKashida"/>
        <w:rPr>
          <w:rFonts w:cs="B Nazanin"/>
          <w:b/>
          <w:bCs/>
          <w:sz w:val="20"/>
          <w:szCs w:val="20"/>
          <w:rtl/>
          <w:lang w:bidi="fa-IR"/>
        </w:rPr>
      </w:pPr>
    </w:p>
    <w:p w:rsidR="00C949EE" w:rsidRDefault="00C949EE" w:rsidP="00C949EE">
      <w:pPr>
        <w:autoSpaceDE w:val="0"/>
        <w:autoSpaceDN w:val="0"/>
        <w:adjustRightInd w:val="0"/>
        <w:rPr>
          <w:rFonts w:asciiTheme="majorBidi" w:hAnsiTheme="majorBidi" w:cstheme="majorBidi"/>
          <w:sz w:val="20"/>
          <w:szCs w:val="20"/>
        </w:rPr>
      </w:pPr>
      <w:r w:rsidRPr="000E5C43">
        <w:rPr>
          <w:rFonts w:asciiTheme="majorBidi" w:hAnsiTheme="majorBidi" w:cstheme="majorBidi"/>
          <w:sz w:val="20"/>
          <w:szCs w:val="20"/>
        </w:rPr>
        <w:t>Bawden, R</w:t>
      </w:r>
      <w:r>
        <w:rPr>
          <w:rFonts w:asciiTheme="majorBidi" w:hAnsiTheme="majorBidi" w:cstheme="majorBidi" w:hint="cs"/>
          <w:sz w:val="20"/>
          <w:szCs w:val="20"/>
          <w:rtl/>
        </w:rPr>
        <w:t>.</w:t>
      </w:r>
      <w:r>
        <w:rPr>
          <w:rFonts w:asciiTheme="majorBidi" w:hAnsiTheme="majorBidi" w:cstheme="majorBidi"/>
          <w:sz w:val="20"/>
          <w:szCs w:val="20"/>
        </w:rPr>
        <w:t>(</w:t>
      </w:r>
      <w:r w:rsidRPr="000E5C43">
        <w:rPr>
          <w:rFonts w:asciiTheme="majorBidi" w:hAnsiTheme="majorBidi" w:cstheme="majorBidi"/>
          <w:sz w:val="20"/>
          <w:szCs w:val="20"/>
        </w:rPr>
        <w:t>2007</w:t>
      </w:r>
      <w:r>
        <w:rPr>
          <w:rFonts w:asciiTheme="majorBidi" w:hAnsiTheme="majorBidi" w:cstheme="majorBidi"/>
          <w:sz w:val="20"/>
          <w:szCs w:val="20"/>
        </w:rPr>
        <w:t>)</w:t>
      </w:r>
      <w:r w:rsidRPr="000E5C43">
        <w:rPr>
          <w:rFonts w:asciiTheme="majorBidi" w:hAnsiTheme="majorBidi" w:cstheme="majorBidi"/>
          <w:sz w:val="20"/>
          <w:szCs w:val="20"/>
        </w:rPr>
        <w:t xml:space="preserve">, A paradigm for persistence: a vital challenge for the agricultural academy, </w:t>
      </w:r>
      <w:r w:rsidRPr="000E5C43">
        <w:rPr>
          <w:rFonts w:asciiTheme="majorBidi" w:hAnsiTheme="majorBidi" w:cstheme="majorBidi"/>
          <w:i/>
          <w:iCs/>
          <w:sz w:val="20"/>
          <w:szCs w:val="20"/>
        </w:rPr>
        <w:t xml:space="preserve">International Journal of Agricultural Sustainability </w:t>
      </w:r>
      <w:r w:rsidRPr="000E5C43">
        <w:rPr>
          <w:rFonts w:asciiTheme="majorBidi" w:hAnsiTheme="majorBidi" w:cstheme="majorBidi"/>
          <w:sz w:val="20"/>
          <w:szCs w:val="20"/>
        </w:rPr>
        <w:t>5, 17–24.</w:t>
      </w:r>
    </w:p>
    <w:p w:rsidR="00C949EE" w:rsidRPr="00001DEC" w:rsidRDefault="00C949EE" w:rsidP="00C949EE">
      <w:pPr>
        <w:autoSpaceDE w:val="0"/>
        <w:autoSpaceDN w:val="0"/>
        <w:bidi w:val="0"/>
        <w:adjustRightInd w:val="0"/>
        <w:jc w:val="both"/>
        <w:rPr>
          <w:rFonts w:cs="B Nazanin"/>
          <w:sz w:val="26"/>
          <w:szCs w:val="26"/>
          <w:lang w:bidi="fa-IR"/>
        </w:rPr>
      </w:pPr>
      <w:r w:rsidRPr="00001DEC">
        <w:rPr>
          <w:rFonts w:eastAsia="Calibri"/>
          <w:color w:val="353535"/>
          <w:sz w:val="20"/>
          <w:szCs w:val="20"/>
        </w:rPr>
        <w:t>Garforth, Ch. and Lawrence, A. (2004). Supporting Sustainable Agriculture</w:t>
      </w:r>
      <w:r>
        <w:rPr>
          <w:color w:val="353535"/>
          <w:sz w:val="20"/>
          <w:szCs w:val="20"/>
        </w:rPr>
        <w:t xml:space="preserve"> </w:t>
      </w:r>
      <w:r w:rsidRPr="00001DEC">
        <w:rPr>
          <w:rFonts w:eastAsia="Calibri"/>
          <w:color w:val="353535"/>
          <w:sz w:val="20"/>
          <w:szCs w:val="20"/>
        </w:rPr>
        <w:t>through Extension in Asia. NO 21, June 2004</w:t>
      </w:r>
      <w:r w:rsidRPr="00001DEC">
        <w:rPr>
          <w:rFonts w:eastAsia="Calibri"/>
          <w:color w:val="353535"/>
          <w:sz w:val="26"/>
          <w:szCs w:val="26"/>
        </w:rPr>
        <w:t>.</w:t>
      </w:r>
    </w:p>
    <w:p w:rsidR="00C949EE" w:rsidRDefault="00C949EE" w:rsidP="00C949EE">
      <w:pPr>
        <w:autoSpaceDE w:val="0"/>
        <w:autoSpaceDN w:val="0"/>
        <w:adjustRightInd w:val="0"/>
        <w:rPr>
          <w:rFonts w:asciiTheme="majorBidi" w:hAnsiTheme="majorBidi" w:cstheme="majorBidi"/>
          <w:sz w:val="20"/>
          <w:szCs w:val="20"/>
        </w:rPr>
      </w:pPr>
    </w:p>
    <w:p w:rsidR="00C949EE" w:rsidRDefault="00C949EE" w:rsidP="00C949EE">
      <w:pPr>
        <w:rPr>
          <w:sz w:val="20"/>
          <w:szCs w:val="20"/>
        </w:rPr>
      </w:pPr>
      <w:r w:rsidRPr="006E2CBA">
        <w:rPr>
          <w:rFonts w:eastAsia="Calibri"/>
          <w:sz w:val="20"/>
          <w:szCs w:val="20"/>
        </w:rPr>
        <w:t>Hegde, N.</w:t>
      </w:r>
      <w:r w:rsidRPr="006E2CBA">
        <w:rPr>
          <w:rFonts w:ascii="Helvetica" w:eastAsia="Calibri" w:hAnsi="Helvetica" w:cs="Helvetica"/>
          <w:sz w:val="20"/>
          <w:szCs w:val="20"/>
        </w:rPr>
        <w:t xml:space="preserve"> </w:t>
      </w:r>
      <w:r w:rsidRPr="006E2CBA">
        <w:rPr>
          <w:rFonts w:eastAsia="Calibri"/>
          <w:sz w:val="20"/>
          <w:szCs w:val="20"/>
        </w:rPr>
        <w:t xml:space="preserve">G( 2000). Sustainable agriculture for food security. </w:t>
      </w:r>
      <w:r w:rsidRPr="006E2CBA">
        <w:rPr>
          <w:rFonts w:eastAsia="Calibri"/>
          <w:i/>
          <w:iCs/>
          <w:sz w:val="20"/>
          <w:szCs w:val="20"/>
        </w:rPr>
        <w:t>Indian Farming</w:t>
      </w:r>
      <w:r w:rsidRPr="006E2CBA">
        <w:rPr>
          <w:rFonts w:eastAsia="Calibri"/>
          <w:sz w:val="20"/>
          <w:szCs w:val="20"/>
        </w:rPr>
        <w:t xml:space="preserve">, </w:t>
      </w:r>
      <w:r w:rsidRPr="006E2CBA">
        <w:rPr>
          <w:rFonts w:eastAsia="Calibri"/>
          <w:b/>
          <w:bCs/>
          <w:sz w:val="20"/>
          <w:szCs w:val="20"/>
        </w:rPr>
        <w:t>11</w:t>
      </w:r>
      <w:r w:rsidRPr="006E2CBA">
        <w:rPr>
          <w:rFonts w:eastAsia="Calibri"/>
          <w:sz w:val="20"/>
          <w:szCs w:val="20"/>
        </w:rPr>
        <w:t>(3) : 5-7.</w:t>
      </w:r>
    </w:p>
    <w:p w:rsidR="00C949EE" w:rsidRPr="00001DEC" w:rsidRDefault="00C949EE" w:rsidP="00C949EE">
      <w:pPr>
        <w:bidi w:val="0"/>
        <w:rPr>
          <w:rFonts w:eastAsia="Calibri"/>
          <w:sz w:val="20"/>
          <w:szCs w:val="20"/>
        </w:rPr>
      </w:pPr>
      <w:r w:rsidRPr="00001DEC">
        <w:rPr>
          <w:rFonts w:eastAsia="Calibri"/>
          <w:sz w:val="20"/>
          <w:szCs w:val="20"/>
        </w:rPr>
        <w:t xml:space="preserve">Kumarswany, P( 2001). Towards sustainable agriculture. </w:t>
      </w:r>
      <w:r w:rsidRPr="00001DEC">
        <w:rPr>
          <w:rFonts w:eastAsia="Calibri"/>
          <w:i/>
          <w:iCs/>
          <w:sz w:val="20"/>
          <w:szCs w:val="20"/>
        </w:rPr>
        <w:t>Kisan World</w:t>
      </w:r>
      <w:r w:rsidRPr="00001DEC">
        <w:rPr>
          <w:rFonts w:eastAsia="Calibri"/>
          <w:sz w:val="20"/>
          <w:szCs w:val="20"/>
        </w:rPr>
        <w:t xml:space="preserve">, </w:t>
      </w:r>
      <w:r w:rsidRPr="00001DEC">
        <w:rPr>
          <w:rFonts w:eastAsia="Calibri"/>
          <w:b/>
          <w:bCs/>
          <w:sz w:val="20"/>
          <w:szCs w:val="20"/>
        </w:rPr>
        <w:t>28</w:t>
      </w:r>
      <w:r w:rsidRPr="00001DEC">
        <w:rPr>
          <w:rFonts w:eastAsia="Calibri"/>
          <w:sz w:val="20"/>
          <w:szCs w:val="20"/>
        </w:rPr>
        <w:t>(6) : 9-10.</w:t>
      </w:r>
    </w:p>
    <w:p w:rsidR="00C949EE" w:rsidRPr="00001DEC" w:rsidRDefault="00C949EE" w:rsidP="00C949EE">
      <w:pPr>
        <w:autoSpaceDE w:val="0"/>
        <w:autoSpaceDN w:val="0"/>
        <w:bidi w:val="0"/>
        <w:adjustRightInd w:val="0"/>
        <w:jc w:val="both"/>
        <w:rPr>
          <w:sz w:val="20"/>
          <w:szCs w:val="20"/>
        </w:rPr>
      </w:pPr>
      <w:r w:rsidRPr="00001DEC">
        <w:rPr>
          <w:rFonts w:eastAsia="Calibri"/>
          <w:sz w:val="20"/>
          <w:szCs w:val="20"/>
        </w:rPr>
        <w:t>Maraddi, G. N (2006).</w:t>
      </w:r>
      <w:r w:rsidRPr="00001DEC">
        <w:rPr>
          <w:rFonts w:ascii="Times-Bold" w:hAnsi="Times-Bold" w:cs="Times-Bold"/>
          <w:b/>
          <w:bCs/>
          <w:sz w:val="20"/>
          <w:szCs w:val="20"/>
        </w:rPr>
        <w:t xml:space="preserve"> </w:t>
      </w:r>
      <w:r w:rsidRPr="00001DEC">
        <w:rPr>
          <w:sz w:val="20"/>
          <w:szCs w:val="20"/>
        </w:rPr>
        <w:t xml:space="preserve">Extent of Adoption of Selected Sustainable Cultivation Practices by Sugarcane Growers. </w:t>
      </w:r>
      <w:r w:rsidRPr="00001DEC">
        <w:rPr>
          <w:i/>
          <w:iCs/>
          <w:sz w:val="20"/>
          <w:szCs w:val="20"/>
        </w:rPr>
        <w:t>Journal of agricultural science</w:t>
      </w:r>
      <w:r w:rsidRPr="00001DEC">
        <w:rPr>
          <w:sz w:val="20"/>
          <w:szCs w:val="20"/>
        </w:rPr>
        <w:t xml:space="preserve">,20(3),560-563. </w:t>
      </w:r>
    </w:p>
    <w:p w:rsidR="00C949EE" w:rsidRPr="00001DEC" w:rsidRDefault="00C949EE" w:rsidP="00C949EE">
      <w:pPr>
        <w:autoSpaceDE w:val="0"/>
        <w:autoSpaceDN w:val="0"/>
        <w:bidi w:val="0"/>
        <w:adjustRightInd w:val="0"/>
        <w:jc w:val="both"/>
        <w:rPr>
          <w:sz w:val="20"/>
          <w:szCs w:val="20"/>
        </w:rPr>
      </w:pPr>
      <w:r w:rsidRPr="00001DEC">
        <w:rPr>
          <w:sz w:val="20"/>
          <w:szCs w:val="20"/>
        </w:rPr>
        <w:t xml:space="preserve">Röling, N (1994a). Platforms for decision making about ecosystems. In L. Fresco (Ed.), </w:t>
      </w:r>
      <w:r w:rsidRPr="00001DEC">
        <w:rPr>
          <w:i/>
          <w:iCs/>
          <w:sz w:val="20"/>
          <w:szCs w:val="20"/>
        </w:rPr>
        <w:t xml:space="preserve">The future of the land. </w:t>
      </w:r>
      <w:r w:rsidRPr="00001DEC">
        <w:rPr>
          <w:sz w:val="20"/>
          <w:szCs w:val="20"/>
        </w:rPr>
        <w:t>Chichester: John Wiley and Sons.</w:t>
      </w:r>
    </w:p>
    <w:p w:rsidR="00C949EE" w:rsidRPr="00001DEC" w:rsidRDefault="00C949EE" w:rsidP="00C949EE">
      <w:pPr>
        <w:autoSpaceDE w:val="0"/>
        <w:autoSpaceDN w:val="0"/>
        <w:bidi w:val="0"/>
        <w:adjustRightInd w:val="0"/>
        <w:jc w:val="both"/>
        <w:rPr>
          <w:sz w:val="20"/>
          <w:szCs w:val="20"/>
        </w:rPr>
      </w:pPr>
    </w:p>
    <w:p w:rsidR="00C949EE" w:rsidRPr="00001DEC" w:rsidRDefault="00C949EE" w:rsidP="00C949EE">
      <w:pPr>
        <w:autoSpaceDE w:val="0"/>
        <w:autoSpaceDN w:val="0"/>
        <w:bidi w:val="0"/>
        <w:adjustRightInd w:val="0"/>
        <w:jc w:val="both"/>
        <w:rPr>
          <w:sz w:val="20"/>
          <w:szCs w:val="20"/>
        </w:rPr>
      </w:pPr>
      <w:r w:rsidRPr="00001DEC">
        <w:rPr>
          <w:sz w:val="20"/>
          <w:szCs w:val="20"/>
        </w:rPr>
        <w:t xml:space="preserve">Röling, N (1994b). Creating human platforms to manage natural resources: First results of a research programme. In </w:t>
      </w:r>
      <w:r w:rsidRPr="00001DEC">
        <w:rPr>
          <w:i/>
          <w:iCs/>
          <w:sz w:val="20"/>
          <w:szCs w:val="20"/>
        </w:rPr>
        <w:t>Proceedings of the International Symposium on Systems Oriented Research in Agriculture and Rural Development</w:t>
      </w:r>
      <w:r w:rsidRPr="00001DEC">
        <w:rPr>
          <w:sz w:val="20"/>
          <w:szCs w:val="20"/>
        </w:rPr>
        <w:t xml:space="preserve"> (p. 391-395). Montpellier, France, November21.25.1994</w:t>
      </w:r>
    </w:p>
    <w:p w:rsidR="00C949EE" w:rsidRPr="006E2CBA" w:rsidRDefault="00C949EE" w:rsidP="00C949EE">
      <w:pPr>
        <w:bidi w:val="0"/>
        <w:rPr>
          <w:rFonts w:ascii="Helvetica" w:eastAsia="Calibri" w:hAnsi="Helvetica" w:cs="Helvetica"/>
          <w:sz w:val="20"/>
          <w:szCs w:val="20"/>
        </w:rPr>
      </w:pPr>
    </w:p>
    <w:p w:rsidR="00C949EE" w:rsidRPr="00001DEC" w:rsidRDefault="00C949EE" w:rsidP="00C949EE">
      <w:pPr>
        <w:autoSpaceDE w:val="0"/>
        <w:autoSpaceDN w:val="0"/>
        <w:bidi w:val="0"/>
        <w:adjustRightInd w:val="0"/>
        <w:jc w:val="both"/>
        <w:rPr>
          <w:rFonts w:eastAsia="Calibri"/>
          <w:sz w:val="20"/>
          <w:szCs w:val="20"/>
        </w:rPr>
      </w:pPr>
      <w:r w:rsidRPr="00001DEC">
        <w:rPr>
          <w:rFonts w:eastAsia="Calibri"/>
          <w:sz w:val="20"/>
          <w:szCs w:val="20"/>
        </w:rPr>
        <w:t xml:space="preserve">Singh, K. K., Patra, M. L. &amp; Sharma, H. C ( 2000). Environmental protection and sustainable agriculture. </w:t>
      </w:r>
      <w:r w:rsidRPr="00001DEC">
        <w:rPr>
          <w:rFonts w:eastAsia="Calibri"/>
          <w:i/>
          <w:iCs/>
          <w:sz w:val="20"/>
          <w:szCs w:val="20"/>
        </w:rPr>
        <w:t>Environment and People</w:t>
      </w:r>
      <w:r w:rsidRPr="00001DEC">
        <w:rPr>
          <w:rFonts w:eastAsia="Calibri"/>
          <w:sz w:val="20"/>
          <w:szCs w:val="20"/>
        </w:rPr>
        <w:t xml:space="preserve">, </w:t>
      </w:r>
      <w:r w:rsidRPr="00001DEC">
        <w:rPr>
          <w:rFonts w:eastAsia="Calibri"/>
          <w:b/>
          <w:bCs/>
          <w:sz w:val="20"/>
          <w:szCs w:val="20"/>
        </w:rPr>
        <w:t>6</w:t>
      </w:r>
      <w:r w:rsidRPr="00001DEC">
        <w:rPr>
          <w:rFonts w:eastAsia="Calibri"/>
          <w:sz w:val="20"/>
          <w:szCs w:val="20"/>
        </w:rPr>
        <w:t>(9) : 5-9.</w:t>
      </w:r>
    </w:p>
    <w:p w:rsidR="00C949EE" w:rsidRPr="000E5C43" w:rsidRDefault="00C949EE" w:rsidP="00C949EE">
      <w:pPr>
        <w:autoSpaceDE w:val="0"/>
        <w:autoSpaceDN w:val="0"/>
        <w:adjustRightInd w:val="0"/>
        <w:rPr>
          <w:rFonts w:asciiTheme="majorBidi" w:hAnsiTheme="majorBidi" w:cstheme="majorBidi"/>
          <w:b/>
          <w:bCs/>
          <w:sz w:val="20"/>
          <w:szCs w:val="20"/>
          <w:lang w:bidi="fa-IR"/>
        </w:rPr>
      </w:pPr>
    </w:p>
    <w:p w:rsidR="004B0AE7" w:rsidRDefault="004B0AE7" w:rsidP="004B0AE7">
      <w:pPr>
        <w:rPr>
          <w:rtl/>
        </w:rPr>
      </w:pPr>
      <w:bookmarkStart w:id="0" w:name="_GoBack"/>
      <w:bookmarkEnd w:id="0"/>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Default="004B0AE7" w:rsidP="004B0AE7">
      <w:pPr>
        <w:rPr>
          <w:rtl/>
        </w:rPr>
      </w:pPr>
    </w:p>
    <w:p w:rsidR="004B0AE7" w:rsidRPr="004B0AE7" w:rsidRDefault="004B0AE7" w:rsidP="004B0AE7"/>
    <w:sectPr w:rsidR="004B0AE7" w:rsidRPr="004B0AE7" w:rsidSect="00D84715">
      <w:head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46B" w:rsidRDefault="0090446B" w:rsidP="004B0AE7">
      <w:r>
        <w:separator/>
      </w:r>
    </w:p>
  </w:endnote>
  <w:endnote w:type="continuationSeparator" w:id="0">
    <w:p w:rsidR="0090446B" w:rsidRDefault="0090446B"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otus">
    <w:altName w:val="Times New Roman"/>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dvTT5843c571">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46B" w:rsidRDefault="0090446B" w:rsidP="004B0AE7">
      <w:r>
        <w:separator/>
      </w:r>
    </w:p>
  </w:footnote>
  <w:footnote w:type="continuationSeparator" w:id="0">
    <w:p w:rsidR="0090446B" w:rsidRDefault="0090446B" w:rsidP="004B0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C949EE">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C949EE" w:rsidRPr="00C949EE">
      <w:rPr>
        <w:rFonts w:cs="B Mitra"/>
        <w:b/>
        <w:bCs/>
        <w:noProof/>
        <w:rtl/>
      </w:rPr>
      <w:t>4</w:t>
    </w:r>
    <w:r w:rsidRPr="009F74BE">
      <w:rPr>
        <w:rFonts w:cs="B Mitra"/>
        <w:b/>
        <w:bCs/>
        <w:noProof/>
      </w:rPr>
      <w:fldChar w:fldCharType="end"/>
    </w:r>
  </w:p>
  <w:p w:rsidR="004B0AE7" w:rsidRDefault="004B0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E1801"/>
    <w:rsid w:val="008F0C8A"/>
    <w:rsid w:val="008F0DC2"/>
    <w:rsid w:val="008F2A37"/>
    <w:rsid w:val="008F33CA"/>
    <w:rsid w:val="008F4651"/>
    <w:rsid w:val="0090014E"/>
    <w:rsid w:val="00901E90"/>
    <w:rsid w:val="0090446B"/>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949E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BlockText">
    <w:name w:val="Block Text"/>
    <w:basedOn w:val="Normal"/>
    <w:semiHidden/>
    <w:unhideWhenUsed/>
    <w:rsid w:val="008E1801"/>
    <w:pPr>
      <w:spacing w:line="600" w:lineRule="exact"/>
      <w:ind w:left="-1" w:right="-1" w:firstLine="567"/>
      <w:jc w:val="lowKashida"/>
    </w:pPr>
    <w:rPr>
      <w:rFonts w:cs="Lotus"/>
      <w:b/>
      <w:bCs/>
      <w:noProof/>
      <w:color w:val="000000"/>
      <w:sz w:val="20"/>
      <w:szCs w:val="28"/>
      <w:lang w:val="en-GB"/>
    </w:rPr>
  </w:style>
  <w:style w:type="table" w:styleId="TableGrid">
    <w:name w:val="Table Grid"/>
    <w:basedOn w:val="TableNormal"/>
    <w:rsid w:val="00C949EE"/>
    <w:pPr>
      <w:spacing w:after="0" w:line="240" w:lineRule="auto"/>
    </w:pPr>
    <w:rPr>
      <w:rFonts w:ascii="Calibri" w:eastAsia="Calibri"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BlockText">
    <w:name w:val="Block Text"/>
    <w:basedOn w:val="Normal"/>
    <w:semiHidden/>
    <w:unhideWhenUsed/>
    <w:rsid w:val="008E1801"/>
    <w:pPr>
      <w:spacing w:line="600" w:lineRule="exact"/>
      <w:ind w:left="-1" w:right="-1" w:firstLine="567"/>
      <w:jc w:val="lowKashida"/>
    </w:pPr>
    <w:rPr>
      <w:rFonts w:cs="Lotus"/>
      <w:b/>
      <w:bCs/>
      <w:noProof/>
      <w:color w:val="000000"/>
      <w:sz w:val="20"/>
      <w:szCs w:val="28"/>
      <w:lang w:val="en-GB"/>
    </w:rPr>
  </w:style>
  <w:style w:type="table" w:styleId="TableGrid">
    <w:name w:val="Table Grid"/>
    <w:basedOn w:val="TableNormal"/>
    <w:rsid w:val="00C949EE"/>
    <w:pPr>
      <w:spacing w:after="0" w:line="240" w:lineRule="auto"/>
    </w:pPr>
    <w:rPr>
      <w:rFonts w:ascii="Calibri" w:eastAsia="Calibri"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ranwheat.ir"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A75AF-EE0D-47CB-A3E4-8C97A75A3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2</cp:revision>
  <dcterms:created xsi:type="dcterms:W3CDTF">2016-07-05T17:55:00Z</dcterms:created>
  <dcterms:modified xsi:type="dcterms:W3CDTF">2016-07-05T17:55:00Z</dcterms:modified>
</cp:coreProperties>
</file>