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54910" w14:textId="77777777" w:rsidR="00D456AF" w:rsidRDefault="00D456AF" w:rsidP="00D456AF">
      <w:pPr>
        <w:jc w:val="center"/>
        <w:rPr>
          <w:rFonts w:cs="B Nazanin"/>
          <w:b/>
          <w:bCs/>
          <w:sz w:val="32"/>
          <w:szCs w:val="32"/>
          <w:rtl/>
          <w:lang w:bidi="fa-IR"/>
        </w:rPr>
      </w:pPr>
      <w:r w:rsidRPr="00466C48">
        <w:rPr>
          <w:rFonts w:cs="B Nazanin" w:hint="cs"/>
          <w:b/>
          <w:bCs/>
          <w:sz w:val="32"/>
          <w:szCs w:val="32"/>
          <w:rtl/>
          <w:lang w:bidi="fa-IR"/>
        </w:rPr>
        <w:t>علم اجتماعی واساختی و هویّت ایرانی</w:t>
      </w:r>
    </w:p>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000FC15E" w14:textId="77777777" w:rsidR="00D456AF" w:rsidRDefault="00D456AF" w:rsidP="00D456AF">
      <w:pPr>
        <w:spacing w:line="240" w:lineRule="auto"/>
        <w:jc w:val="center"/>
        <w:rPr>
          <w:rFonts w:cs="B Nazanin"/>
          <w:b/>
          <w:bCs/>
          <w:sz w:val="24"/>
          <w:szCs w:val="24"/>
          <w:rtl/>
          <w:lang w:bidi="fa-IR"/>
        </w:rPr>
      </w:pPr>
      <w:bookmarkStart w:id="0" w:name="kix.o8i8u0b7v7fd" w:colFirst="0" w:colLast="0"/>
      <w:bookmarkEnd w:id="0"/>
      <w:r w:rsidRPr="00466C48">
        <w:rPr>
          <w:rFonts w:cs="B Nazanin" w:hint="cs"/>
          <w:b/>
          <w:bCs/>
          <w:sz w:val="24"/>
          <w:szCs w:val="24"/>
          <w:rtl/>
          <w:lang w:bidi="fa-IR"/>
        </w:rPr>
        <w:t>دکتر محمدتقی ایمان</w:t>
      </w:r>
    </w:p>
    <w:p w14:paraId="7779D6A9" w14:textId="77777777" w:rsidR="00D456AF" w:rsidRDefault="00D456AF" w:rsidP="00D456AF">
      <w:pPr>
        <w:spacing w:line="240" w:lineRule="auto"/>
        <w:jc w:val="center"/>
        <w:rPr>
          <w:rFonts w:cs="B Lotus"/>
          <w:b/>
          <w:bCs/>
          <w:sz w:val="25"/>
          <w:szCs w:val="25"/>
          <w:lang w:bidi="fa-IR"/>
        </w:rPr>
      </w:pPr>
      <w:r w:rsidRPr="00466C48">
        <w:rPr>
          <w:rFonts w:cs="B Nazanin" w:hint="cs"/>
          <w:rtl/>
          <w:lang w:bidi="fa-IR"/>
        </w:rPr>
        <w:t xml:space="preserve">استاد گروه جامعه‌شناسی، دانشگاه شیراز، شیراز، ایران.  </w:t>
      </w:r>
    </w:p>
    <w:p w14:paraId="182D1559" w14:textId="74348A86" w:rsidR="00D456AF" w:rsidRDefault="000C4019" w:rsidP="00D456AF">
      <w:pPr>
        <w:spacing w:line="240" w:lineRule="auto"/>
        <w:jc w:val="center"/>
        <w:rPr>
          <w:rFonts w:asciiTheme="majorBidi" w:hAnsiTheme="majorBidi" w:cstheme="majorBidi"/>
          <w:sz w:val="20"/>
          <w:szCs w:val="20"/>
          <w:rtl/>
          <w:lang w:bidi="fa-IR"/>
        </w:rPr>
      </w:pPr>
      <w:r>
        <w:rPr>
          <w:rFonts w:asciiTheme="majorBidi" w:hAnsiTheme="majorBidi" w:cstheme="majorBidi"/>
          <w:sz w:val="20"/>
          <w:szCs w:val="20"/>
          <w:lang w:bidi="fa-IR"/>
        </w:rPr>
        <w:t>E-</w:t>
      </w:r>
      <w:r w:rsidR="00D456AF">
        <w:rPr>
          <w:rFonts w:asciiTheme="majorBidi" w:hAnsiTheme="majorBidi" w:cstheme="majorBidi"/>
          <w:sz w:val="20"/>
          <w:szCs w:val="20"/>
          <w:lang w:bidi="fa-IR"/>
        </w:rPr>
        <w:t xml:space="preserve">mail: </w:t>
      </w:r>
      <w:hyperlink r:id="rId8" w:history="1">
        <w:r w:rsidR="00D456AF" w:rsidRPr="00651A50">
          <w:rPr>
            <w:rStyle w:val="Hyperlink"/>
            <w:rFonts w:asciiTheme="majorBidi" w:hAnsiTheme="majorBidi" w:cstheme="majorBidi"/>
            <w:sz w:val="20"/>
            <w:szCs w:val="20"/>
            <w:lang w:bidi="fa-IR"/>
          </w:rPr>
          <w:t>iman@shirazu.ac.ir</w:t>
        </w:r>
      </w:hyperlink>
    </w:p>
    <w:p w14:paraId="214581A5" w14:textId="77777777" w:rsidR="00D5625B" w:rsidRPr="008922F7" w:rsidRDefault="00D5625B">
      <w:pPr>
        <w:bidi/>
        <w:spacing w:line="240" w:lineRule="auto"/>
        <w:jc w:val="center"/>
        <w:rPr>
          <w:rFonts w:ascii="Times New Roman" w:eastAsia="Times New Roman" w:hAnsi="Times New Roman" w:cs="B Nazanin"/>
          <w:sz w:val="20"/>
          <w:szCs w:val="20"/>
        </w:rPr>
      </w:pPr>
    </w:p>
    <w:p w14:paraId="42F8D59F" w14:textId="77777777" w:rsidR="00D456AF" w:rsidRDefault="00D456AF" w:rsidP="00D456AF">
      <w:pPr>
        <w:spacing w:before="20" w:line="240" w:lineRule="auto"/>
        <w:jc w:val="center"/>
        <w:rPr>
          <w:rFonts w:cs="B Nazanin"/>
          <w:b/>
          <w:bCs/>
          <w:sz w:val="24"/>
          <w:szCs w:val="24"/>
          <w:rtl/>
          <w:lang w:bidi="fa-IR"/>
        </w:rPr>
      </w:pPr>
      <w:r w:rsidRPr="00466C48">
        <w:rPr>
          <w:rFonts w:cs="B Nazanin" w:hint="cs"/>
          <w:b/>
          <w:bCs/>
          <w:sz w:val="24"/>
          <w:szCs w:val="24"/>
          <w:rtl/>
          <w:lang w:bidi="fa-IR"/>
        </w:rPr>
        <w:t>دکتر منصور طبیعی</w:t>
      </w:r>
    </w:p>
    <w:p w14:paraId="5F281A5D" w14:textId="77777777" w:rsidR="00D456AF" w:rsidRDefault="00D456AF" w:rsidP="00D456AF">
      <w:pPr>
        <w:spacing w:line="240" w:lineRule="auto"/>
        <w:jc w:val="center"/>
        <w:rPr>
          <w:rFonts w:cs="B Lotus"/>
          <w:b/>
          <w:bCs/>
          <w:sz w:val="25"/>
          <w:szCs w:val="25"/>
          <w:lang w:bidi="fa-IR"/>
        </w:rPr>
      </w:pPr>
      <w:r w:rsidRPr="00466C48">
        <w:rPr>
          <w:rFonts w:cs="B Nazanin" w:hint="cs"/>
          <w:rtl/>
          <w:lang w:bidi="fa-IR"/>
        </w:rPr>
        <w:t>استاد</w:t>
      </w:r>
      <w:r>
        <w:rPr>
          <w:rFonts w:cs="B Nazanin" w:hint="cs"/>
          <w:rtl/>
          <w:lang w:bidi="fa-IR"/>
        </w:rPr>
        <w:t>یار</w:t>
      </w:r>
      <w:r w:rsidRPr="00466C48">
        <w:rPr>
          <w:rFonts w:cs="B Nazanin" w:hint="cs"/>
          <w:rtl/>
          <w:lang w:bidi="fa-IR"/>
        </w:rPr>
        <w:t xml:space="preserve"> گروه جامعه‌شناسی، دانشگاه شیراز، شیراز، ایران.  </w:t>
      </w:r>
    </w:p>
    <w:p w14:paraId="20884751" w14:textId="0563CAB3" w:rsidR="00D456AF" w:rsidRDefault="000C4019" w:rsidP="00D456AF">
      <w:pPr>
        <w:spacing w:line="240" w:lineRule="auto"/>
        <w:jc w:val="center"/>
        <w:rPr>
          <w:rFonts w:asciiTheme="majorBidi" w:hAnsiTheme="majorBidi" w:cstheme="majorBidi"/>
          <w:sz w:val="20"/>
          <w:szCs w:val="20"/>
          <w:rtl/>
          <w:lang w:bidi="fa-IR"/>
        </w:rPr>
      </w:pPr>
      <w:r>
        <w:rPr>
          <w:rFonts w:asciiTheme="majorBidi" w:hAnsiTheme="majorBidi" w:cstheme="majorBidi"/>
          <w:sz w:val="20"/>
          <w:szCs w:val="20"/>
          <w:lang w:bidi="fa-IR"/>
        </w:rPr>
        <w:t>E</w:t>
      </w:r>
      <w:r w:rsidR="00D456AF">
        <w:rPr>
          <w:rFonts w:asciiTheme="majorBidi" w:hAnsiTheme="majorBidi" w:cstheme="majorBidi"/>
          <w:sz w:val="20"/>
          <w:szCs w:val="20"/>
          <w:lang w:bidi="fa-IR"/>
        </w:rPr>
        <w:t xml:space="preserve">-mail: </w:t>
      </w:r>
      <w:hyperlink r:id="rId9" w:history="1">
        <w:bookmarkStart w:id="1" w:name="_GoBack"/>
        <w:r w:rsidR="00EE5E64" w:rsidRPr="00CB7C6D">
          <w:rPr>
            <w:rStyle w:val="Hyperlink"/>
            <w:rFonts w:ascii="Times New Roman" w:hAnsi="Times New Roman" w:cs="Times New Roman"/>
            <w:sz w:val="16"/>
            <w:szCs w:val="16"/>
            <w:u w:val="none"/>
            <w:lang w:val="en-US"/>
          </w:rPr>
          <w:t xml:space="preserve"> </w:t>
        </w:r>
        <w:bookmarkEnd w:id="1"/>
        <w:r w:rsidR="00EE5E64" w:rsidRPr="00651A50">
          <w:rPr>
            <w:rStyle w:val="Hyperlink"/>
            <w:rFonts w:asciiTheme="majorBidi" w:hAnsiTheme="majorBidi" w:cstheme="majorBidi"/>
            <w:sz w:val="20"/>
            <w:szCs w:val="20"/>
            <w:lang w:val="en-US" w:bidi="fa-IR"/>
          </w:rPr>
          <w:t>mtabiee</w:t>
        </w:r>
        <w:r w:rsidR="00EE5E64" w:rsidRPr="00651A50">
          <w:rPr>
            <w:rStyle w:val="Hyperlink"/>
            <w:rFonts w:asciiTheme="majorBidi" w:hAnsiTheme="majorBidi" w:cstheme="majorBidi"/>
            <w:sz w:val="20"/>
            <w:szCs w:val="20"/>
            <w:lang w:bidi="fa-IR"/>
          </w:rPr>
          <w:t>@rose.shirazu.ac.ir</w:t>
        </w:r>
      </w:hyperlink>
    </w:p>
    <w:p w14:paraId="2EF12ACF" w14:textId="77777777" w:rsidR="00D456AF" w:rsidRDefault="00D456AF" w:rsidP="00D456AF">
      <w:pPr>
        <w:bidi/>
        <w:spacing w:line="240" w:lineRule="auto"/>
        <w:jc w:val="center"/>
        <w:rPr>
          <w:rFonts w:ascii="Times New Roman" w:eastAsia="Times New Roman" w:hAnsi="Times New Roman" w:cs="B Nazanin"/>
          <w:sz w:val="20"/>
          <w:szCs w:val="20"/>
          <w:rtl/>
        </w:rPr>
      </w:pPr>
    </w:p>
    <w:p w14:paraId="3D10D189" w14:textId="77777777" w:rsidR="00D456AF" w:rsidRDefault="00D456AF" w:rsidP="00D456AF">
      <w:pPr>
        <w:spacing w:before="20" w:line="240" w:lineRule="auto"/>
        <w:jc w:val="center"/>
        <w:rPr>
          <w:rFonts w:cs="B Nazanin"/>
          <w:b/>
          <w:bCs/>
          <w:sz w:val="24"/>
          <w:szCs w:val="24"/>
          <w:rtl/>
          <w:lang w:bidi="fa-IR"/>
        </w:rPr>
      </w:pPr>
      <w:r>
        <w:rPr>
          <w:rFonts w:cs="B Nazanin" w:hint="cs"/>
          <w:b/>
          <w:bCs/>
          <w:sz w:val="24"/>
          <w:szCs w:val="24"/>
          <w:rtl/>
          <w:lang w:bidi="fa-IR"/>
        </w:rPr>
        <w:t>دکتر علی بندرریگی‌زاده</w:t>
      </w:r>
    </w:p>
    <w:p w14:paraId="49434C83" w14:textId="4262A95E" w:rsidR="00D456AF" w:rsidRDefault="00D456AF" w:rsidP="00D456AF">
      <w:pPr>
        <w:spacing w:before="20" w:line="240" w:lineRule="auto"/>
        <w:jc w:val="center"/>
        <w:rPr>
          <w:rFonts w:cs="B Nazanin"/>
          <w:rtl/>
          <w:lang w:bidi="fa-IR"/>
        </w:rPr>
      </w:pPr>
      <w:r>
        <w:rPr>
          <w:rFonts w:cs="B Nazanin" w:hint="cs"/>
          <w:rtl/>
          <w:lang w:bidi="fa-IR"/>
        </w:rPr>
        <w:t>پژوهشگر پسادکتری، گروه</w:t>
      </w:r>
      <w:r w:rsidRPr="00466C48">
        <w:rPr>
          <w:rFonts w:cs="B Nazanin" w:hint="cs"/>
          <w:rtl/>
          <w:lang w:bidi="fa-IR"/>
        </w:rPr>
        <w:t xml:space="preserve"> جامعه‌شناسی</w:t>
      </w:r>
      <w:r>
        <w:rPr>
          <w:rFonts w:cs="B Nazanin" w:hint="cs"/>
          <w:rtl/>
          <w:lang w:bidi="fa-IR"/>
        </w:rPr>
        <w:t>،</w:t>
      </w:r>
      <w:r w:rsidRPr="00466C48">
        <w:rPr>
          <w:rFonts w:cs="B Nazanin" w:hint="cs"/>
          <w:rtl/>
          <w:lang w:bidi="fa-IR"/>
        </w:rPr>
        <w:t xml:space="preserve"> دانشگاه شیراز، شیراز، ایران.</w:t>
      </w:r>
    </w:p>
    <w:p w14:paraId="35DB0BF7" w14:textId="7F06B64B" w:rsidR="00D456AF" w:rsidRDefault="000C4019" w:rsidP="00D456AF">
      <w:pPr>
        <w:spacing w:line="240" w:lineRule="auto"/>
        <w:jc w:val="center"/>
        <w:rPr>
          <w:rFonts w:asciiTheme="majorBidi" w:hAnsiTheme="majorBidi" w:cstheme="majorBidi"/>
          <w:sz w:val="20"/>
          <w:szCs w:val="20"/>
          <w:rtl/>
          <w:lang w:bidi="fa-IR"/>
        </w:rPr>
      </w:pPr>
      <w:r>
        <w:rPr>
          <w:rFonts w:asciiTheme="majorBidi" w:hAnsiTheme="majorBidi" w:cstheme="majorBidi"/>
          <w:sz w:val="20"/>
          <w:szCs w:val="20"/>
          <w:lang w:bidi="fa-IR"/>
        </w:rPr>
        <w:t>E</w:t>
      </w:r>
      <w:r w:rsidR="00D456AF">
        <w:rPr>
          <w:rFonts w:asciiTheme="majorBidi" w:hAnsiTheme="majorBidi" w:cstheme="majorBidi"/>
          <w:sz w:val="20"/>
          <w:szCs w:val="20"/>
          <w:lang w:bidi="fa-IR"/>
        </w:rPr>
        <w:t xml:space="preserve">-mail: </w:t>
      </w:r>
      <w:hyperlink r:id="rId10" w:history="1">
        <w:r w:rsidR="00D456AF" w:rsidRPr="00651A50">
          <w:rPr>
            <w:rStyle w:val="Hyperlink"/>
            <w:rFonts w:asciiTheme="majorBidi" w:hAnsiTheme="majorBidi" w:cstheme="majorBidi"/>
            <w:sz w:val="20"/>
            <w:szCs w:val="20"/>
            <w:lang w:bidi="fa-IR"/>
          </w:rPr>
          <w:t>ali.bandarrigizadeh@gmail.com</w:t>
        </w:r>
      </w:hyperlink>
    </w:p>
    <w:p w14:paraId="018269B5" w14:textId="77777777" w:rsidR="00D456AF" w:rsidRPr="008922F7" w:rsidRDefault="00D456AF" w:rsidP="00D456AF">
      <w:pPr>
        <w:tabs>
          <w:tab w:val="left" w:pos="3497"/>
          <w:tab w:val="left" w:pos="6474"/>
        </w:tabs>
        <w:spacing w:line="240" w:lineRule="auto"/>
        <w:rPr>
          <w:rFonts w:ascii="Calibri" w:eastAsia="Calibri" w:hAnsi="Calibri" w:cs="B Nazanin"/>
          <w:sz w:val="28"/>
          <w:szCs w:val="28"/>
        </w:rPr>
      </w:pPr>
    </w:p>
    <w:p w14:paraId="3F5B5D20" w14:textId="77777777" w:rsidR="00D456AF" w:rsidRPr="008922F7" w:rsidRDefault="00D456AF" w:rsidP="00D456AF">
      <w:pPr>
        <w:bidi/>
        <w:spacing w:line="240" w:lineRule="auto"/>
        <w:jc w:val="center"/>
        <w:rPr>
          <w:rFonts w:ascii="Times New Roman" w:eastAsia="Times New Roman" w:hAnsi="Times New Roman" w:cs="B Nazanin"/>
          <w:sz w:val="24"/>
          <w:szCs w:val="24"/>
        </w:rPr>
      </w:pPr>
    </w:p>
    <w:p w14:paraId="26F0C806"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6E195C65" w:rsidR="00D5625B" w:rsidRPr="008922F7" w:rsidRDefault="00FA2181" w:rsidP="00EE5E64">
      <w:pPr>
        <w:tabs>
          <w:tab w:val="left" w:pos="3497"/>
          <w:tab w:val="left" w:pos="6474"/>
        </w:tabs>
        <w:bidi/>
        <w:spacing w:line="240" w:lineRule="auto"/>
        <w:ind w:left="706" w:right="706"/>
        <w:rPr>
          <w:rFonts w:ascii="Calibri" w:eastAsia="Calibri" w:hAnsi="Calibri" w:cs="B Nazanin"/>
          <w:sz w:val="24"/>
          <w:szCs w:val="24"/>
        </w:rPr>
      </w:pPr>
      <w:r w:rsidRPr="00EE5E64">
        <w:rPr>
          <w:rFonts w:ascii="Calibri" w:eastAsia="Calibri" w:hAnsi="Calibri" w:cs="B Nazanin"/>
          <w:bCs/>
          <w:sz w:val="24"/>
          <w:szCs w:val="24"/>
          <w:rtl/>
        </w:rPr>
        <w:t>چکیده</w:t>
      </w:r>
      <w:r w:rsidRPr="008922F7">
        <w:rPr>
          <w:rFonts w:ascii="Calibri" w:eastAsia="Calibri" w:hAnsi="Calibri" w:cs="B Nazanin"/>
          <w:b/>
          <w:sz w:val="24"/>
          <w:szCs w:val="24"/>
          <w:rtl/>
        </w:rPr>
        <w:t xml:space="preserve"> </w:t>
      </w:r>
    </w:p>
    <w:p w14:paraId="5C73D8E6" w14:textId="05936823" w:rsidR="00EE5E64" w:rsidRDefault="00EE5E64" w:rsidP="00EE5E64">
      <w:pPr>
        <w:bidi/>
        <w:spacing w:line="240" w:lineRule="auto"/>
        <w:ind w:left="706" w:right="851"/>
        <w:jc w:val="both"/>
        <w:rPr>
          <w:rFonts w:ascii="Times New Roman" w:eastAsia="Times New Roman" w:hAnsi="Times New Roman" w:cs="B Nazanin"/>
          <w:sz w:val="24"/>
          <w:szCs w:val="24"/>
          <w:rtl/>
          <w:lang w:bidi="fa-IR"/>
        </w:rPr>
      </w:pPr>
      <w:r w:rsidRPr="00EE5E64">
        <w:rPr>
          <w:rFonts w:ascii="Times New Roman" w:eastAsia="Times New Roman" w:hAnsi="Times New Roman" w:cs="B Nazanin" w:hint="cs"/>
          <w:sz w:val="24"/>
          <w:szCs w:val="24"/>
          <w:rtl/>
          <w:lang w:bidi="fa-IR"/>
        </w:rPr>
        <w:t xml:space="preserve">عناصر بنیادینی که علم اجتماعی واساختی را از سایر گونه‌های علم اجتماعی متمایز می‌سازند این امکان را برای آن فراهم می‌آورند که برساخت مفهوم «هویّت ایرانی» را در متن و بستر واگشایی‌های علمی قرار دهد. به‌عبارت‌دیگر، آن عناصری که در پیکرۀ علم اجتماعی واساختی ‌تنیده‌اند و، بدین‌سان، موجودیّت و ماهیّت این گونه از علم را وابسته به خود نموده‌اند همان عناصری هستند که به‌عنوان اجزاء تشکیل‌دهندۀ این پیکره به‌وجودآورندۀ ظرفیّت‌هایی برای واکاوی برساخت مفهوم مورد بحث‌اند. بدین‌طریق، عناصر یا اجزایی که جهان اجتماعی را به‌سان جهانی به تصویر می‌کشند که خلق و بازخلق می‌شود و بر نقش فعّال انسان در خلق و بازخلق این جهان تأکید می‌کنند همانا عناصر و اجزایی می‌باشند که تدقیق در برساخته‌شدن مفهوم هویّت ایرانی را در ارتباط وثیق و عمیق با آن‌چه که «انتظام در پراکندگی» نامیده می‌شود ممکن می‌سازند. </w:t>
      </w:r>
    </w:p>
    <w:p w14:paraId="030EB6E6" w14:textId="668B4129" w:rsidR="00346A2D" w:rsidRDefault="00346A2D" w:rsidP="00346A2D">
      <w:pPr>
        <w:bidi/>
        <w:spacing w:line="240" w:lineRule="auto"/>
        <w:ind w:left="706" w:right="851"/>
        <w:jc w:val="both"/>
        <w:rPr>
          <w:rFonts w:ascii="Times New Roman" w:eastAsia="Times New Roman" w:hAnsi="Times New Roman" w:cs="B Nazanin"/>
          <w:sz w:val="24"/>
          <w:szCs w:val="24"/>
          <w:rtl/>
          <w:lang w:bidi="fa-IR"/>
        </w:rPr>
      </w:pPr>
    </w:p>
    <w:p w14:paraId="66576FD6" w14:textId="77777777" w:rsidR="00346A2D" w:rsidRPr="00346A2D" w:rsidRDefault="00346A2D" w:rsidP="00346A2D">
      <w:pPr>
        <w:bidi/>
        <w:spacing w:line="240" w:lineRule="auto"/>
        <w:ind w:left="706" w:right="851"/>
        <w:jc w:val="both"/>
        <w:rPr>
          <w:rFonts w:ascii="Times New Roman" w:eastAsia="Times New Roman" w:hAnsi="Times New Roman" w:cs="B Nazanin"/>
          <w:b/>
          <w:sz w:val="24"/>
          <w:szCs w:val="24"/>
          <w:rtl/>
          <w:lang w:bidi="fa-IR"/>
        </w:rPr>
      </w:pPr>
      <w:r w:rsidRPr="00346A2D">
        <w:rPr>
          <w:rFonts w:ascii="Times New Roman" w:eastAsia="Times New Roman" w:hAnsi="Times New Roman" w:cs="B Nazanin"/>
          <w:bCs/>
          <w:sz w:val="24"/>
          <w:szCs w:val="24"/>
          <w:rtl/>
        </w:rPr>
        <w:t>واژگان كليدي:</w:t>
      </w:r>
      <w:r>
        <w:rPr>
          <w:rFonts w:ascii="Times New Roman" w:eastAsia="Times New Roman" w:hAnsi="Times New Roman" w:cs="B Nazanin" w:hint="cs"/>
          <w:b/>
          <w:sz w:val="24"/>
          <w:szCs w:val="24"/>
          <w:rtl/>
        </w:rPr>
        <w:t xml:space="preserve"> </w:t>
      </w:r>
      <w:r w:rsidRPr="00346A2D">
        <w:rPr>
          <w:rFonts w:ascii="Times New Roman" w:eastAsia="Times New Roman" w:hAnsi="Times New Roman" w:cs="B Nazanin" w:hint="cs"/>
          <w:b/>
          <w:sz w:val="24"/>
          <w:szCs w:val="24"/>
          <w:rtl/>
          <w:lang w:bidi="fa-IR"/>
        </w:rPr>
        <w:t>هویّت، واسازی، برسازی، دریدا.</w:t>
      </w:r>
    </w:p>
    <w:p w14:paraId="074FB72A" w14:textId="03F32E7D" w:rsidR="00346A2D" w:rsidRPr="00346A2D" w:rsidRDefault="00346A2D" w:rsidP="00346A2D">
      <w:pPr>
        <w:bidi/>
        <w:spacing w:line="240" w:lineRule="auto"/>
        <w:ind w:left="706" w:right="851"/>
        <w:jc w:val="both"/>
        <w:rPr>
          <w:rFonts w:ascii="Times New Roman" w:eastAsia="Times New Roman" w:hAnsi="Times New Roman" w:cs="B Nazanin"/>
          <w:b/>
          <w:sz w:val="24"/>
          <w:szCs w:val="24"/>
          <w:rtl/>
          <w:lang w:bidi="fa-IR"/>
        </w:rPr>
      </w:pPr>
    </w:p>
    <w:p w14:paraId="043BCA97"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3458733E" w14:textId="2E27D352" w:rsidR="00D5625B" w:rsidRPr="000C4019" w:rsidRDefault="00FA2181" w:rsidP="007D66D8">
      <w:pPr>
        <w:pStyle w:val="Heading1"/>
        <w:keepLines w:val="0"/>
        <w:widowControl w:val="0"/>
        <w:bidi/>
        <w:spacing w:before="0" w:after="0" w:line="240" w:lineRule="auto"/>
        <w:jc w:val="both"/>
        <w:rPr>
          <w:rFonts w:ascii="Times New Roman" w:eastAsia="Times New Roman" w:hAnsi="Times New Roman" w:cs="B Nazanin"/>
          <w:bCs/>
          <w:sz w:val="24"/>
          <w:szCs w:val="24"/>
        </w:rPr>
      </w:pPr>
      <w:r w:rsidRPr="000C4019">
        <w:rPr>
          <w:rFonts w:ascii="Times New Roman" w:eastAsia="Times New Roman" w:hAnsi="Times New Roman" w:cs="B Nazanin"/>
          <w:bCs/>
          <w:sz w:val="24"/>
          <w:szCs w:val="24"/>
          <w:rtl/>
        </w:rPr>
        <w:lastRenderedPageBreak/>
        <w:t xml:space="preserve">مقدمه </w:t>
      </w:r>
    </w:p>
    <w:p w14:paraId="5ADB641D" w14:textId="77777777" w:rsidR="000C4019" w:rsidRPr="000C4019" w:rsidRDefault="000C4019" w:rsidP="000C4019">
      <w:pPr>
        <w:bidi/>
        <w:jc w:val="both"/>
        <w:rPr>
          <w:rFonts w:ascii="Calibri" w:eastAsia="Calibri" w:hAnsi="Calibri" w:cs="B Nazanin"/>
          <w:sz w:val="24"/>
          <w:szCs w:val="24"/>
          <w:rtl/>
          <w:cs/>
          <w:lang w:val="en-US" w:bidi="fa-IR"/>
        </w:rPr>
      </w:pPr>
      <w:r w:rsidRPr="000C4019">
        <w:rPr>
          <w:rFonts w:ascii="Calibri" w:eastAsia="Calibri" w:hAnsi="Calibri" w:cs="B Nazanin" w:hint="cs"/>
          <w:sz w:val="24"/>
          <w:szCs w:val="24"/>
          <w:rtl/>
          <w:lang w:val="en-US" w:bidi="fa-IR"/>
        </w:rPr>
        <w:t>رویکردی به برساخت هویّت وجود دارد که خصوصیّات معیّن اشتراک فردی با دیگران را برجسته می‌سازد</w:t>
      </w:r>
      <w:r w:rsidRPr="000C4019">
        <w:rPr>
          <w:rFonts w:ascii="Calibri" w:eastAsia="Calibri" w:hAnsi="Calibri" w:cs="B Nazanin" w:hint="cs"/>
          <w:sz w:val="24"/>
          <w:szCs w:val="24"/>
          <w:rtl/>
          <w:cs/>
          <w:lang w:val="en-US" w:bidi="fa-IR"/>
        </w:rPr>
        <w:t>.</w:t>
      </w:r>
      <w:r w:rsidRPr="000C4019">
        <w:rPr>
          <w:rFonts w:ascii="Calibri" w:eastAsia="Calibri" w:hAnsi="Calibri" w:cs="B Nazanin" w:hint="cs"/>
          <w:sz w:val="24"/>
          <w:szCs w:val="24"/>
          <w:rtl/>
          <w:lang w:val="en-US" w:bidi="fa-IR"/>
        </w:rPr>
        <w:t xml:space="preserve"> این رویکرد بر ماهیّت ذاتی یا بر مجموعه‌ای از تجارب پای‌فشاری می‌کند که صرف‌نظر از تفاوت‌های گوناگون میان اعضاء‌ــ که برای مثال بر نژاد، سن یا جنس مبتنی می‌باشند</w:t>
      </w:r>
      <w:r w:rsidRPr="000C4019">
        <w:rPr>
          <w:rFonts w:ascii="Symbol" w:eastAsia="Calibri" w:hAnsi="Symbol" w:cs="B Nazanin" w:hint="cs"/>
          <w:sz w:val="24"/>
          <w:szCs w:val="24"/>
          <w:rtl/>
          <w:lang w:val="en-US" w:bidi="fa-IR"/>
        </w:rPr>
        <w:t>‌ــ</w:t>
      </w:r>
      <w:r w:rsidRPr="000C4019">
        <w:rPr>
          <w:rFonts w:ascii="Calibri" w:eastAsia="Calibri" w:hAnsi="Calibri" w:cs="B Nazanin" w:hint="cs"/>
          <w:sz w:val="24"/>
          <w:szCs w:val="24"/>
          <w:rtl/>
          <w:lang w:val="en-US" w:bidi="fa-IR"/>
        </w:rPr>
        <w:t xml:space="preserve"> در میان تمامی افراد اشتراک دارد. این رویکرد همانا رویکردی ذات‌باور و ذات‌گرا است. این امر بدین‌سبب است که رویکرد مورد بحث اوّلاً عامل یک‌دست</w:t>
      </w:r>
      <w:r w:rsidRPr="000C4019">
        <w:rPr>
          <w:rFonts w:ascii="Calibri" w:eastAsia="Calibri" w:hAnsi="Calibri" w:cs="B Nazanin" w:hint="cs"/>
          <w:sz w:val="24"/>
          <w:szCs w:val="24"/>
          <w:rtl/>
          <w:cs/>
          <w:lang w:val="en-US" w:bidi="fa-IR"/>
        </w:rPr>
        <w:t xml:space="preserve">‎کننده و یک‌پارچه‌کنندۀ گروه‌(ها) را درونی و ذاتی آن(ها) </w:t>
      </w:r>
      <w:r w:rsidRPr="000C4019">
        <w:rPr>
          <w:rFonts w:ascii="Calibri" w:eastAsia="Calibri" w:hAnsi="Calibri" w:cs="B Nazanin" w:hint="cs"/>
          <w:sz w:val="24"/>
          <w:szCs w:val="24"/>
          <w:rtl/>
          <w:lang w:val="en-US" w:bidi="fa-IR"/>
        </w:rPr>
        <w:t>می</w:t>
      </w:r>
      <w:r w:rsidRPr="000C4019">
        <w:rPr>
          <w:rFonts w:ascii="Calibri" w:eastAsia="Calibri" w:hAnsi="Calibri" w:cs="B Nazanin" w:hint="cs"/>
          <w:sz w:val="24"/>
          <w:szCs w:val="24"/>
          <w:rtl/>
          <w:cs/>
          <w:lang w:val="en-US" w:bidi="fa-IR"/>
        </w:rPr>
        <w:t>‎داند و، ثانیاً، آن‌چه سبب این یک‌دستی و یک‌پارچگی می‎شود را بر تاریخ، فرهنگ و جغرافیا استعلا و برتری می‌بخشد</w:t>
      </w:r>
      <w:r w:rsidRPr="000C4019">
        <w:rPr>
          <w:rFonts w:ascii="Calibri" w:eastAsia="Calibri" w:hAnsi="Calibri" w:cs="B Nazanin" w:hint="cs"/>
          <w:sz w:val="24"/>
          <w:szCs w:val="24"/>
          <w:rtl/>
          <w:lang w:val="en-US" w:bidi="fa-IR"/>
        </w:rPr>
        <w:t>. هرچند نامی که با این رویکرد دارای بیش‌ترین ارتباط دانسته شده است نام اریک اریکسون</w:t>
      </w:r>
      <w:r w:rsidRPr="000C4019">
        <w:rPr>
          <w:rFonts w:ascii="Calibri" w:eastAsia="Calibri" w:hAnsi="Calibri" w:cs="B Nazanin"/>
          <w:sz w:val="24"/>
          <w:szCs w:val="24"/>
          <w:vertAlign w:val="superscript"/>
          <w:rtl/>
          <w:lang w:val="en-US" w:bidi="fa-IR"/>
        </w:rPr>
        <w:footnoteReference w:id="1"/>
      </w:r>
      <w:r w:rsidRPr="000C4019">
        <w:rPr>
          <w:rFonts w:ascii="Calibri" w:eastAsia="Calibri" w:hAnsi="Calibri" w:cs="B Nazanin" w:hint="cs"/>
          <w:sz w:val="24"/>
          <w:szCs w:val="24"/>
          <w:rtl/>
          <w:lang w:val="en-US" w:bidi="fa-IR"/>
        </w:rPr>
        <w:t xml:space="preserve"> بوده است و هرچند به‌طور عام ‌چنین پنداشته شده است که اریکسون یک ایدۀ محوری و عمدۀ واحد را با تأکیدنهادن بر مدل انتخاب عقلانی انسان دنبال می‌کند</w:t>
      </w:r>
      <w:r w:rsidRPr="000C4019">
        <w:rPr>
          <w:rFonts w:ascii="Calibri" w:eastAsia="Calibri" w:hAnsi="Calibri" w:cs="B Nazanin" w:hint="cs"/>
          <w:sz w:val="24"/>
          <w:szCs w:val="24"/>
          <w:rtl/>
          <w:cs/>
          <w:lang w:val="en-US" w:bidi="fa-IR"/>
        </w:rPr>
        <w:t xml:space="preserve"> و می‏کوشد سایر پدیده‌ها را تحت‎الشّعاع این ایده قرار دهد و آن‎ها را در پرتو این ایده تفسیر نماید، امّا باید بدانیم که نظریۀ اریکسون بسیار پیچیده می‌باشد و ایستادگی خود را </w:t>
      </w:r>
      <w:r w:rsidRPr="000C4019">
        <w:rPr>
          <w:rFonts w:ascii="Calibri" w:eastAsia="Calibri" w:hAnsi="Calibri" w:cs="B Nazanin" w:hint="cs"/>
          <w:sz w:val="24"/>
          <w:szCs w:val="24"/>
          <w:rtl/>
          <w:lang w:val="en-US" w:bidi="fa-IR"/>
        </w:rPr>
        <w:t>در مقابل افراد و عواملی نشان می‌دهد که می‌کوشند پدیده‌ها را حول یک ایدۀ محوری و عمده تحلیل کنند.</w:t>
      </w:r>
      <w:r w:rsidRPr="000C4019">
        <w:rPr>
          <w:rFonts w:ascii="Calibri" w:eastAsia="Calibri" w:hAnsi="Calibri" w:cs="B Nazanin" w:hint="cs"/>
          <w:sz w:val="24"/>
          <w:szCs w:val="24"/>
          <w:rtl/>
          <w:cs/>
          <w:lang w:val="en-US" w:bidi="fa-IR"/>
        </w:rPr>
        <w:t xml:space="preserve"> حال، این ایدۀ محوری و عمدۀ واحد چه انتخاب عقلانی باشد و چه </w:t>
      </w:r>
      <w:r w:rsidRPr="000C4019">
        <w:rPr>
          <w:rFonts w:ascii="Calibri" w:eastAsia="Calibri" w:hAnsi="Calibri" w:cs="B Nazanin" w:hint="cs"/>
          <w:sz w:val="24"/>
          <w:szCs w:val="24"/>
          <w:rtl/>
          <w:lang w:val="en-US" w:bidi="fa-IR"/>
        </w:rPr>
        <w:t>عناصر تکامل‌گرایانه‌ای که از زیست</w:t>
      </w:r>
      <w:r w:rsidRPr="000C4019">
        <w:rPr>
          <w:rFonts w:ascii="Calibri" w:eastAsia="Calibri" w:hAnsi="Calibri" w:cs="B Nazanin" w:hint="cs"/>
          <w:sz w:val="24"/>
          <w:szCs w:val="24"/>
          <w:rtl/>
          <w:cs/>
          <w:lang w:val="en-US" w:bidi="fa-IR"/>
        </w:rPr>
        <w:t xml:space="preserve">‎شناسی کلان اخذ شده‌اند. به‌زعم اریکسون، هویّت امری انتسابی نیست و، بنابراین، با اموری نظیر نژاد، قومیّت و جنسیّت مرتبط نمی‎باشد. در نزد او، هویّت آن چیزی است که «حاصل می‌شود و به‌دست می‎آید». امّا، رویکرد ذات‌باور یا ذات‌گرایی که از آن سخن می‌گوییم هویّت را کم‌وبیش با ابتناء بر چنین معیارهای ازپیش‎تعیین‎شده‌ای تعریف می‎کند و </w:t>
      </w:r>
      <w:r w:rsidRPr="000C4019">
        <w:rPr>
          <w:rFonts w:ascii="Calibri" w:eastAsia="Calibri" w:hAnsi="Calibri" w:cs="B Nazanin" w:hint="cs"/>
          <w:sz w:val="24"/>
          <w:szCs w:val="24"/>
          <w:rtl/>
          <w:lang w:val="en-US" w:bidi="fa-IR"/>
        </w:rPr>
        <w:t xml:space="preserve">هویّت خاص گروه‌های اجتماعی را حول امر واحد مشخّص می‌نماید و، این‌چنین، به اضمحلال تنوّع و تکثّر دامن می‌زند. بدین‌طریق، رویکرد مورد بحث تمام هم‌وغم خود را در جهت یک‌دست‌ساختن گروه‌هایی به‌کار می‌گیرد که به‌طور عمده دارای </w:t>
      </w:r>
      <w:r w:rsidRPr="000C4019">
        <w:rPr>
          <w:rFonts w:ascii="Calibri" w:eastAsia="Calibri" w:hAnsi="Calibri" w:cs="B Nazanin" w:hint="cs"/>
          <w:sz w:val="24"/>
          <w:szCs w:val="24"/>
          <w:rtl/>
          <w:cs/>
          <w:lang w:val="en-US" w:bidi="fa-IR"/>
        </w:rPr>
        <w:t>علایق، منافع و جهت‎گیری‎های متفاوت و متباین هستند.</w:t>
      </w:r>
    </w:p>
    <w:p w14:paraId="2D9C9CDB" w14:textId="75B4CA66" w:rsidR="000C4019" w:rsidRDefault="000C4019" w:rsidP="000C4019">
      <w:pPr>
        <w:bidi/>
        <w:spacing w:after="160"/>
        <w:ind w:firstLine="720"/>
        <w:jc w:val="both"/>
        <w:rPr>
          <w:rFonts w:ascii="Calibri" w:eastAsia="Calibri" w:hAnsi="Calibri" w:cs="B Nazanin"/>
          <w:sz w:val="24"/>
          <w:szCs w:val="24"/>
          <w:rtl/>
          <w:cs/>
          <w:lang w:val="en-US" w:bidi="fa-IR"/>
        </w:rPr>
      </w:pPr>
      <w:r w:rsidRPr="000C4019">
        <w:rPr>
          <w:rFonts w:ascii="Calibri" w:eastAsia="Calibri" w:hAnsi="Calibri" w:cs="B Nazanin" w:hint="cs"/>
          <w:sz w:val="24"/>
          <w:szCs w:val="24"/>
          <w:rtl/>
          <w:cs/>
          <w:lang w:val="en-US" w:bidi="fa-IR"/>
        </w:rPr>
        <w:t xml:space="preserve">مقالۀ حاضر با طرح مبانی «علم اجتماعی واساختی» می‌کوشد تا رویکردی بدیل را در حوزۀ علوم اجتماعی پیشِ روی گذارد و بر این امر مُهر تأیید زند که این گونه از علم اجتماعی در جایگاهی </w:t>
      </w:r>
      <w:r w:rsidRPr="000C4019">
        <w:rPr>
          <w:rFonts w:ascii="Calibri" w:eastAsia="Calibri" w:hAnsi="Calibri" w:cs="B Nazanin" w:hint="cs"/>
          <w:i/>
          <w:iCs/>
          <w:sz w:val="24"/>
          <w:szCs w:val="24"/>
          <w:rtl/>
          <w:cs/>
          <w:lang w:val="en-US" w:bidi="fa-IR"/>
        </w:rPr>
        <w:t>است</w:t>
      </w:r>
      <w:r w:rsidRPr="000C4019">
        <w:rPr>
          <w:rFonts w:ascii="Calibri" w:eastAsia="Calibri" w:hAnsi="Calibri" w:cs="B Nazanin" w:hint="cs"/>
          <w:sz w:val="24"/>
          <w:szCs w:val="24"/>
          <w:rtl/>
          <w:cs/>
          <w:lang w:val="en-US" w:bidi="fa-IR"/>
        </w:rPr>
        <w:t xml:space="preserve"> که توانایی ایستادگی در برابر رویکرد هم‌سان‌ساز را داشته باشد. هدف اصلی این مقاله امّا فراهم‌آوردن ابزارهای نظری‌ای برای واگشایی مفهوم «هویّت ایرانی» با عطف به علم اجتماعی واساختی است.</w:t>
      </w:r>
    </w:p>
    <w:p w14:paraId="6C3A3BBF" w14:textId="77777777" w:rsidR="000C4019" w:rsidRPr="000C4019" w:rsidRDefault="000C4019" w:rsidP="000C4019">
      <w:pPr>
        <w:bidi/>
        <w:jc w:val="both"/>
        <w:rPr>
          <w:rFonts w:ascii="Calibri" w:eastAsia="Calibri" w:hAnsi="Calibri" w:cs="B Nazanin"/>
          <w:b/>
          <w:bCs/>
          <w:sz w:val="24"/>
          <w:szCs w:val="24"/>
          <w:rtl/>
          <w:cs/>
          <w:lang w:val="en-US" w:bidi="fa-IR"/>
        </w:rPr>
      </w:pPr>
      <w:r w:rsidRPr="000C4019">
        <w:rPr>
          <w:rFonts w:ascii="Calibri" w:eastAsia="Calibri" w:hAnsi="Calibri" w:cs="B Nazanin" w:hint="cs"/>
          <w:b/>
          <w:bCs/>
          <w:sz w:val="24"/>
          <w:szCs w:val="24"/>
          <w:rtl/>
          <w:cs/>
          <w:lang w:val="en-US" w:bidi="fa-IR"/>
        </w:rPr>
        <w:t>واسازی و علم اجتماعی واساختی</w:t>
      </w:r>
    </w:p>
    <w:p w14:paraId="11130573" w14:textId="65BE684B" w:rsidR="000C4019" w:rsidRPr="000C4019" w:rsidRDefault="000C4019" w:rsidP="000C4019">
      <w:pPr>
        <w:bidi/>
        <w:jc w:val="both"/>
        <w:rPr>
          <w:rFonts w:ascii="Calibri" w:eastAsia="Calibri" w:hAnsi="Calibri" w:cs="B Nazanin"/>
          <w:sz w:val="24"/>
          <w:szCs w:val="24"/>
          <w:rtl/>
          <w:lang w:val="en-US" w:bidi="fa-IR"/>
        </w:rPr>
      </w:pPr>
      <w:r w:rsidRPr="000C4019">
        <w:rPr>
          <w:rFonts w:ascii="Calibri" w:eastAsia="Calibri" w:hAnsi="Calibri" w:cs="B Nazanin" w:hint="cs"/>
          <w:sz w:val="24"/>
          <w:szCs w:val="24"/>
          <w:rtl/>
          <w:cs/>
          <w:lang w:val="en-US" w:bidi="fa-IR"/>
        </w:rPr>
        <w:t>گونه‌ای از علم اجتماعی که عنوان «علم اجتماعی واساختی» را بر تارک خود دارد</w:t>
      </w:r>
      <w:r w:rsidRPr="000C4019">
        <w:rPr>
          <w:rFonts w:ascii="Calibri" w:eastAsia="Calibri" w:hAnsi="Calibri" w:cs="B Nazanin" w:hint="cs"/>
          <w:sz w:val="24"/>
          <w:szCs w:val="24"/>
          <w:rtl/>
          <w:lang w:val="en-US"/>
        </w:rPr>
        <w:t xml:space="preserve"> </w:t>
      </w:r>
      <w:r w:rsidRPr="000C4019">
        <w:rPr>
          <w:rFonts w:ascii="Calibri" w:eastAsia="Calibri" w:hAnsi="Calibri" w:cs="B Nazanin" w:hint="cs"/>
          <w:sz w:val="24"/>
          <w:szCs w:val="24"/>
          <w:rtl/>
          <w:lang w:val="en-US" w:bidi="fa-IR"/>
        </w:rPr>
        <w:t>بیش</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پیش</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نام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دیگری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نام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ژاک</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دریدا</w:t>
      </w:r>
      <w:r w:rsidR="007A4E34">
        <w:rPr>
          <w:rStyle w:val="FootnoteReference"/>
          <w:rFonts w:ascii="Calibri" w:eastAsia="Calibri" w:hAnsi="Calibri" w:cs="B Nazanin"/>
          <w:sz w:val="24"/>
          <w:szCs w:val="24"/>
          <w:rtl/>
          <w:lang w:val="en-US" w:bidi="fa-IR"/>
        </w:rPr>
        <w:footnoteReference w:id="2"/>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پیوند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علم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اجتماعی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واساختی،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واقع،</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گونه‌ای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علم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اجتماعی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بطن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فلسفۀ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دریدا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برآمده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صورت‌بندی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lastRenderedPageBreak/>
        <w:t>ژرف</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غنی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مفهوم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واسازی</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استوار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گشته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این‌جا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باید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خاطر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نشان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سازیم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مفهوم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واسازی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میزان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دارای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کاربردی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موسّع</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بوده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مورد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سوءبرداشت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سوءخوانش</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نیز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قرار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گرفته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بدفهمی‌ها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کج‌فهمی‌ها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این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مفهوم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بدان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حد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بوده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خودِ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دریدا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برابر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آنانی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فریاد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برآورده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واسازی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هم‌پیوند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پایانِ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فلسفه</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دانسته‌اند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آن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به‌سان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رهیافتی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مورد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شناسایی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قرار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داده‌اند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ویران‌سازیِ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متن،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سنّت،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حقیقت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پرافتخارترین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اسامی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سنّتِ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فلسفی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گرایش</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دارد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خصمی</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برنامه‌ها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نهادهای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آکادمیک</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w:t>
      </w:r>
      <w:r w:rsidRPr="000C4019">
        <w:rPr>
          <w:rFonts w:ascii="Calibri" w:eastAsia="Calibri" w:hAnsi="Calibri" w:cs="B Nazanin" w:hint="cs"/>
          <w:sz w:val="24"/>
          <w:szCs w:val="24"/>
          <w:rtl/>
          <w:lang w:val="en-US" w:bidi="fa-IR"/>
        </w:rPr>
        <w:t>آن‌چه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واسازی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نامیده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شده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هیچ‌گاه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نهادهایِ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فی‌نفسه،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فلسفۀ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فی‌نفسه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زمینۀ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دانشِ</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فی‌نفسه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ضدیّت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نداشته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دریدا،</w:t>
      </w:r>
      <w:r w:rsidRPr="000C4019">
        <w:rPr>
          <w:rFonts w:ascii="Calibri" w:eastAsia="Calibri" w:hAnsi="Calibri" w:cs="B Nazanin"/>
          <w:sz w:val="24"/>
          <w:szCs w:val="24"/>
          <w:rtl/>
          <w:lang w:val="en-US" w:bidi="fa-IR"/>
        </w:rPr>
        <w:t xml:space="preserve"> 1999: 5). </w:t>
      </w:r>
      <w:r w:rsidRPr="000C4019">
        <w:rPr>
          <w:rFonts w:ascii="Calibri" w:eastAsia="Calibri" w:hAnsi="Calibri" w:cs="B Nazanin" w:hint="cs"/>
          <w:sz w:val="24"/>
          <w:szCs w:val="24"/>
          <w:rtl/>
          <w:lang w:val="en-US" w:bidi="fa-IR"/>
        </w:rPr>
        <w:t>به‌زعم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دریدا،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واسازی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ایجابیّتی</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متقارن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گسست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نه‌چندان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کامل‌اش</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گذشته،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توأم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پاسداشت‌اش</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یاد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خاطرۀ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گذشته،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طرحی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غایت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جدید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درمی‌افکند</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همان</w:t>
      </w:r>
      <w:r w:rsidRPr="000C4019">
        <w:rPr>
          <w:rFonts w:ascii="Calibri" w:eastAsia="Calibri" w:hAnsi="Calibri" w:cs="B Nazanin"/>
          <w:sz w:val="24"/>
          <w:szCs w:val="24"/>
          <w:rtl/>
          <w:lang w:val="en-US" w:bidi="fa-IR"/>
        </w:rPr>
        <w:t xml:space="preserve">: ۶). </w:t>
      </w:r>
      <w:r w:rsidRPr="000C4019">
        <w:rPr>
          <w:rFonts w:ascii="Calibri" w:eastAsia="Calibri" w:hAnsi="Calibri" w:cs="B Nazanin" w:hint="cs"/>
          <w:sz w:val="24"/>
          <w:szCs w:val="24"/>
          <w:rtl/>
          <w:lang w:val="en-US" w:bidi="fa-IR"/>
        </w:rPr>
        <w:t>لذا،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واسازی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درصدد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تخریب‌کردن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ویران‌نمودن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گذشته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نیست؛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فلسفۀ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دریدا،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واسازی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متوجّه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آن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عناصری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گذشته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دارای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اقتدارِ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خاستگاهی</w:t>
      </w:r>
      <w:r w:rsidRPr="000C4019">
        <w:rPr>
          <w:rFonts w:ascii="Calibri" w:eastAsia="Calibri" w:hAnsi="Calibri" w:cs="B Nazanin" w:hint="eastAsia"/>
          <w:sz w:val="24"/>
          <w:szCs w:val="24"/>
          <w:rtl/>
          <w:lang w:val="en-US" w:bidi="fa-IR"/>
        </w:rPr>
        <w:t>»</w:t>
      </w:r>
      <w:r w:rsidRPr="000C4019">
        <w:rPr>
          <w:rFonts w:ascii="Calibri" w:eastAsia="Calibri" w:hAnsi="Calibri" w:cs="B Nazanin" w:hint="cs"/>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سرمنشأیی</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بنیادی</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هستند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جملۀ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چنین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عناصری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البته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دارای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حضوری متافیزیکی</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سوژۀ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حاکم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باید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اشاره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نمود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لزوماً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مفهوم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ذات</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دلالت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دارد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آن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هم‌پیوند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دریدا،</w:t>
      </w:r>
      <w:r w:rsidRPr="000C4019">
        <w:rPr>
          <w:rFonts w:ascii="Calibri" w:eastAsia="Calibri" w:hAnsi="Calibri" w:cs="B Nazanin"/>
          <w:sz w:val="24"/>
          <w:szCs w:val="24"/>
          <w:rtl/>
          <w:lang w:val="en-US" w:bidi="fa-IR"/>
        </w:rPr>
        <w:t xml:space="preserve"> 2001: 289). </w:t>
      </w:r>
      <w:r w:rsidRPr="000C4019">
        <w:rPr>
          <w:rFonts w:ascii="Calibri" w:eastAsia="Calibri" w:hAnsi="Calibri" w:cs="B Nazanin" w:hint="cs"/>
          <w:sz w:val="24"/>
          <w:szCs w:val="24"/>
          <w:rtl/>
          <w:lang w:val="en-US" w:bidi="fa-IR"/>
        </w:rPr>
        <w:t>واسازی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چنین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عناصری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حضورشان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همواره‌ـ‌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باشنده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همه‌جا‌ـ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باشنده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تجسّمات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تام‌وتمام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ذات‌باوری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ذات‌گرایی‌اند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درون‌شان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پرسش</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می‌گیرد</w:t>
      </w:r>
      <w:r w:rsidRPr="000C4019">
        <w:rPr>
          <w:rFonts w:ascii="Calibri" w:eastAsia="Calibri" w:hAnsi="Calibri" w:cs="B Nazanin"/>
          <w:sz w:val="24"/>
          <w:szCs w:val="24"/>
          <w:rtl/>
          <w:lang w:val="en-US" w:bidi="fa-IR"/>
        </w:rPr>
        <w:t xml:space="preserve">. </w:t>
      </w:r>
    </w:p>
    <w:p w14:paraId="21C4D862" w14:textId="6C497D12" w:rsidR="000C4019" w:rsidRDefault="000C4019" w:rsidP="000C4019">
      <w:pPr>
        <w:bidi/>
        <w:spacing w:after="160"/>
        <w:ind w:firstLine="720"/>
        <w:jc w:val="both"/>
        <w:rPr>
          <w:rFonts w:ascii="Calibri" w:eastAsia="Calibri" w:hAnsi="Calibri" w:cs="B Nazanin"/>
          <w:sz w:val="24"/>
          <w:szCs w:val="24"/>
          <w:rtl/>
          <w:lang w:val="en-US" w:bidi="fa-IR"/>
        </w:rPr>
      </w:pPr>
      <w:r w:rsidRPr="000C4019">
        <w:rPr>
          <w:rFonts w:ascii="Calibri" w:eastAsia="Calibri" w:hAnsi="Calibri" w:cs="B Nazanin" w:hint="cs"/>
          <w:sz w:val="24"/>
          <w:szCs w:val="24"/>
          <w:rtl/>
          <w:lang w:val="en-US" w:bidi="fa-IR"/>
        </w:rPr>
        <w:t>امّا، پرسش اصلی در این‌جا متوجّه ماهیّت علم اجتماعی واساختی است. به‌عبارت‌دیگر، لازم و ضروری می‌باشد که به این پرسش پاسخ دهیم که این گونه از علم اجتماعی از حیث چه اموری از جریانِ غالبِ حاکم بر علوم اجتماعی متمایز شده 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 پاسخ به این پرسش باید خاطر نشان سازیم که این گونه از علم اجتماعی در برابر ایده‌های تثبیت‌شده‌ای مقاومت می‌کند که</w:t>
      </w:r>
      <w:r w:rsidRPr="000C4019">
        <w:rPr>
          <w:rFonts w:ascii="Calibri" w:eastAsia="Calibri" w:hAnsi="Calibri" w:cs="B Nazanin" w:hint="cs"/>
          <w:sz w:val="24"/>
          <w:szCs w:val="24"/>
          <w:rtl/>
          <w:lang w:val="en-US"/>
        </w:rPr>
        <w:t xml:space="preserve"> </w:t>
      </w:r>
      <w:r w:rsidRPr="000C4019">
        <w:rPr>
          <w:rFonts w:ascii="Calibri" w:eastAsia="Calibri" w:hAnsi="Calibri" w:cs="B Nazanin" w:hint="cs"/>
          <w:sz w:val="24"/>
          <w:szCs w:val="24"/>
          <w:rtl/>
          <w:lang w:val="en-US" w:bidi="fa-IR"/>
        </w:rPr>
        <w:t>به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ساخت‌کارهای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هم‌یگانه‌ساز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متوسّل</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می‌شوند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افراد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یک</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پیکرۀ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سیاسی‌ـ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اجتماعی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واقع،</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قالبِ</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امرِ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واحد</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ادغام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می‌سازند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این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پیکره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یا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این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امر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به‌عنوان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نمایندۀ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وحدت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انسجامِ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جامعه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عَلَم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می‌کنند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علم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اجتماعی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واساختی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کوششی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همیشگی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رویکردهای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هم‌سان</w:t>
      </w:r>
      <w:r w:rsidRPr="000C4019">
        <w:rPr>
          <w:rFonts w:ascii="Calibri" w:eastAsia="Calibri" w:hAnsi="Calibri" w:cs="B Nazanin" w:hint="cs"/>
          <w:sz w:val="24"/>
          <w:szCs w:val="24"/>
          <w:cs/>
          <w:lang w:val="en-US" w:bidi="fa-IR"/>
        </w:rPr>
        <w:t>‎</w:t>
      </w:r>
      <w:r w:rsidRPr="000C4019">
        <w:rPr>
          <w:rFonts w:ascii="Calibri" w:eastAsia="Calibri" w:hAnsi="Calibri" w:cs="B Nazanin" w:hint="cs"/>
          <w:sz w:val="24"/>
          <w:szCs w:val="24"/>
          <w:rtl/>
          <w:lang w:val="en-US" w:bidi="fa-IR"/>
        </w:rPr>
        <w:t>ساز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رویکردهایی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مبیّن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مبرّز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انسداد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متافیزیکی</w:t>
      </w:r>
      <w:r w:rsidRPr="000C4019">
        <w:rPr>
          <w:rFonts w:ascii="Calibri" w:eastAsia="Calibri" w:hAnsi="Calibri" w:cs="B Nazanin" w:hint="cs"/>
          <w:sz w:val="24"/>
          <w:szCs w:val="24"/>
          <w:cs/>
          <w:lang w:val="en-US" w:bidi="fa-IR"/>
        </w:rPr>
        <w:t>‎‌</w:t>
      </w:r>
      <w:r w:rsidRPr="000C4019">
        <w:rPr>
          <w:rFonts w:ascii="Calibri" w:eastAsia="Calibri" w:hAnsi="Calibri" w:cs="B Nazanin" w:hint="cs"/>
          <w:sz w:val="24"/>
          <w:szCs w:val="24"/>
          <w:rtl/>
          <w:lang w:val="en-US" w:bidi="fa-IR"/>
        </w:rPr>
        <w:t>اند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مُحاق</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علم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اجتماعی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واساختی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برابر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تأکید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امر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واحدِ</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همواره‌ـ‌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حاضر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همه‌جاـ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حاضر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مقاومتی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همیشگی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دارد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قطب</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مقابل</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جریانی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حوزۀ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علوم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اجتماعی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برمی‌سازد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سوژۀ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مدرن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به‌واسطۀ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برجسته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پُررنگ</w:t>
      </w:r>
      <w:r w:rsidRPr="000C4019">
        <w:rPr>
          <w:rFonts w:ascii="Calibri" w:eastAsia="Calibri" w:hAnsi="Calibri" w:cs="B Nazanin" w:hint="cs"/>
          <w:sz w:val="24"/>
          <w:szCs w:val="24"/>
          <w:cs/>
          <w:lang w:val="en-US" w:bidi="fa-IR"/>
        </w:rPr>
        <w:t>‎</w:t>
      </w:r>
      <w:r w:rsidRPr="000C4019">
        <w:rPr>
          <w:rFonts w:ascii="Calibri" w:eastAsia="Calibri" w:hAnsi="Calibri" w:cs="B Nazanin" w:hint="cs"/>
          <w:sz w:val="24"/>
          <w:szCs w:val="24"/>
          <w:rtl/>
          <w:lang w:val="en-US" w:bidi="fa-IR"/>
        </w:rPr>
        <w:t>نمودن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عنصر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تقلید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محض</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مُغاکِ</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ظلمانیِ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خودـ</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فرورفتگی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گرفتار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w:t>
      </w:r>
      <w:r w:rsidRPr="000C4019">
        <w:rPr>
          <w:rFonts w:ascii="Calibri" w:eastAsia="Calibri" w:hAnsi="Calibri" w:cs="B Nazanin" w:hint="cs"/>
          <w:sz w:val="24"/>
          <w:szCs w:val="24"/>
          <w:cs/>
          <w:lang w:val="en-US" w:bidi="fa-IR"/>
        </w:rPr>
        <w:t>‎</w:t>
      </w:r>
      <w:r w:rsidRPr="000C4019">
        <w:rPr>
          <w:rFonts w:ascii="Calibri" w:eastAsia="Calibri" w:hAnsi="Calibri" w:cs="B Nazanin" w:hint="cs"/>
          <w:sz w:val="24"/>
          <w:szCs w:val="24"/>
          <w:rtl/>
          <w:lang w:val="en-US" w:bidi="fa-IR"/>
        </w:rPr>
        <w:t>سازد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آن‌سان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فرومی‌پاشاند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گویا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بدو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امر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موجودیّتی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نداشته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است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گونه‌ای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علم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اجتماعی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واسازیِ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دریدایی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دارای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پیوندهایی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وثیق</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می‌باشد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تمام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توان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خود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به‌کار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می‌گیرد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برابر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درون</w:t>
      </w:r>
      <w:r w:rsidRPr="000C4019">
        <w:rPr>
          <w:rFonts w:ascii="Calibri" w:eastAsia="Calibri" w:hAnsi="Calibri" w:cs="B Nazanin" w:hint="cs"/>
          <w:sz w:val="24"/>
          <w:szCs w:val="24"/>
          <w:cs/>
          <w:lang w:val="en-US" w:bidi="fa-IR"/>
        </w:rPr>
        <w:t>‎</w:t>
      </w:r>
      <w:r w:rsidRPr="000C4019">
        <w:rPr>
          <w:rFonts w:ascii="Calibri" w:eastAsia="Calibri" w:hAnsi="Calibri" w:cs="B Nazanin" w:hint="cs"/>
          <w:sz w:val="24"/>
          <w:szCs w:val="24"/>
          <w:rtl/>
          <w:lang w:val="en-US" w:bidi="fa-IR"/>
        </w:rPr>
        <w:t>ماندگارانگاریِ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جریان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غالبی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ایستادگی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هر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آن‌چه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دارای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کیفیّتی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متفاوت</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می‌باشد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حاشیه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w:t>
      </w:r>
      <w:r w:rsidRPr="000C4019">
        <w:rPr>
          <w:rFonts w:ascii="Calibri" w:eastAsia="Calibri" w:hAnsi="Calibri" w:cs="B Nazanin" w:hint="cs"/>
          <w:sz w:val="24"/>
          <w:szCs w:val="24"/>
          <w:cs/>
          <w:lang w:val="en-US" w:bidi="fa-IR"/>
        </w:rPr>
        <w:t>‎</w:t>
      </w:r>
      <w:r w:rsidRPr="000C4019">
        <w:rPr>
          <w:rFonts w:ascii="Calibri" w:eastAsia="Calibri" w:hAnsi="Calibri" w:cs="B Nazanin" w:hint="cs"/>
          <w:sz w:val="24"/>
          <w:szCs w:val="24"/>
          <w:rtl/>
          <w:lang w:val="en-US" w:bidi="fa-IR"/>
        </w:rPr>
        <w:t>راند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مطرود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متروک</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w:t>
      </w:r>
      <w:r w:rsidRPr="000C4019">
        <w:rPr>
          <w:rFonts w:ascii="Calibri" w:eastAsia="Calibri" w:hAnsi="Calibri" w:cs="B Nazanin" w:hint="cs"/>
          <w:sz w:val="24"/>
          <w:szCs w:val="24"/>
          <w:cs/>
          <w:lang w:val="en-US" w:bidi="fa-IR"/>
        </w:rPr>
        <w:t>‎</w:t>
      </w:r>
      <w:r w:rsidRPr="000C4019">
        <w:rPr>
          <w:rFonts w:ascii="Calibri" w:eastAsia="Calibri" w:hAnsi="Calibri" w:cs="B Nazanin" w:hint="cs"/>
          <w:sz w:val="24"/>
          <w:szCs w:val="24"/>
          <w:rtl/>
          <w:lang w:val="en-US" w:bidi="fa-IR"/>
        </w:rPr>
        <w:t>گرداند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بدین‌طریق،</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امر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عام</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امر</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خاص</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مستولی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می‌سازد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دوگانگی‌ای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میان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سوژه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ابژه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به</w:t>
      </w:r>
      <w:r w:rsidRPr="000C4019">
        <w:rPr>
          <w:rFonts w:ascii="Calibri" w:eastAsia="Calibri" w:hAnsi="Calibri" w:cs="B Nazanin" w:hint="cs"/>
          <w:sz w:val="24"/>
          <w:szCs w:val="24"/>
          <w:cs/>
          <w:lang w:val="en-US" w:bidi="fa-IR"/>
        </w:rPr>
        <w:t>‎</w:t>
      </w:r>
      <w:r w:rsidRPr="000C4019">
        <w:rPr>
          <w:rFonts w:ascii="Calibri" w:eastAsia="Calibri" w:hAnsi="Calibri" w:cs="B Nazanin" w:hint="cs"/>
          <w:sz w:val="24"/>
          <w:szCs w:val="24"/>
          <w:rtl/>
          <w:lang w:val="en-US" w:bidi="fa-IR"/>
        </w:rPr>
        <w:t>وجود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می‌آید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که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سوژه</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مجبور</w:t>
      </w:r>
      <w:r w:rsidRPr="000C4019">
        <w:rPr>
          <w:rFonts w:ascii="Calibri" w:eastAsia="Calibri" w:hAnsi="Calibri" w:cs="B Nazanin" w:hint="eastAsia"/>
          <w:sz w:val="24"/>
          <w:szCs w:val="24"/>
          <w:rtl/>
          <w:lang w:val="en-US" w:bidi="fa-IR"/>
        </w:rPr>
        <w:t>»</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w:t>
      </w:r>
      <w:r w:rsidRPr="000C4019">
        <w:rPr>
          <w:rFonts w:ascii="Calibri" w:eastAsia="Calibri" w:hAnsi="Calibri" w:cs="B Nazanin" w:hint="cs"/>
          <w:sz w:val="24"/>
          <w:szCs w:val="24"/>
          <w:cs/>
          <w:lang w:val="en-US" w:bidi="fa-IR"/>
        </w:rPr>
        <w:t>‎</w:t>
      </w:r>
      <w:r w:rsidRPr="000C4019">
        <w:rPr>
          <w:rFonts w:ascii="Calibri" w:eastAsia="Calibri" w:hAnsi="Calibri" w:cs="B Nazanin" w:hint="cs"/>
          <w:sz w:val="24"/>
          <w:szCs w:val="24"/>
          <w:rtl/>
          <w:lang w:val="en-US" w:bidi="fa-IR"/>
        </w:rPr>
        <w:t>سازد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توانایی‌اش</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برای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اندیشیدن</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را</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سلب</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می‌کند</w:t>
      </w:r>
      <w:r w:rsidRPr="000C4019">
        <w:rPr>
          <w:rFonts w:ascii="Calibri" w:eastAsia="Calibri" w:hAnsi="Calibri" w:cs="B Nazanin"/>
          <w:sz w:val="24"/>
          <w:szCs w:val="24"/>
          <w:rtl/>
          <w:lang w:val="en-US" w:bidi="fa-IR"/>
        </w:rPr>
        <w:t>.</w:t>
      </w:r>
    </w:p>
    <w:p w14:paraId="5A4FFBF8" w14:textId="77777777" w:rsidR="007D66D8" w:rsidRPr="000C4019" w:rsidRDefault="007D66D8" w:rsidP="007D66D8">
      <w:pPr>
        <w:bidi/>
        <w:spacing w:after="160"/>
        <w:ind w:firstLine="720"/>
        <w:jc w:val="both"/>
        <w:rPr>
          <w:rFonts w:ascii="Calibri" w:eastAsia="Calibri" w:hAnsi="Calibri" w:cs="B Nazanin"/>
          <w:sz w:val="24"/>
          <w:szCs w:val="24"/>
          <w:rtl/>
          <w:lang w:val="en-US" w:bidi="fa-IR"/>
        </w:rPr>
      </w:pPr>
    </w:p>
    <w:p w14:paraId="17ADE5A5" w14:textId="77777777" w:rsidR="000C4019" w:rsidRPr="000C4019" w:rsidRDefault="000C4019" w:rsidP="000C4019">
      <w:pPr>
        <w:bidi/>
        <w:jc w:val="both"/>
        <w:rPr>
          <w:rFonts w:ascii="Calibri" w:eastAsia="Calibri" w:hAnsi="Calibri" w:cs="B Nazanin"/>
          <w:sz w:val="24"/>
          <w:szCs w:val="24"/>
          <w:rtl/>
          <w:lang w:val="en-US" w:bidi="fa-IR"/>
        </w:rPr>
      </w:pPr>
      <w:r w:rsidRPr="000C4019">
        <w:rPr>
          <w:rFonts w:ascii="Calibri" w:eastAsia="Calibri" w:hAnsi="Calibri" w:cs="B Nazanin" w:hint="cs"/>
          <w:b/>
          <w:bCs/>
          <w:sz w:val="24"/>
          <w:szCs w:val="24"/>
          <w:rtl/>
          <w:lang w:val="en-US" w:bidi="fa-IR"/>
        </w:rPr>
        <w:lastRenderedPageBreak/>
        <w:t>علم اجتماعی واساختی و «هویّت ایرانی»</w:t>
      </w:r>
      <w:r w:rsidRPr="000C4019">
        <w:rPr>
          <w:rFonts w:ascii="Calibri" w:eastAsia="Calibri" w:hAnsi="Calibri" w:cs="B Nazanin"/>
          <w:b/>
          <w:bCs/>
          <w:sz w:val="24"/>
          <w:szCs w:val="24"/>
          <w:rtl/>
          <w:lang w:val="en-US" w:bidi="fa-IR"/>
        </w:rPr>
        <w:t xml:space="preserve"> </w:t>
      </w:r>
      <w:r w:rsidRPr="000C4019">
        <w:rPr>
          <w:rFonts w:ascii="Calibri" w:eastAsia="Calibri" w:hAnsi="Calibri" w:cs="B Nazanin" w:hint="cs"/>
          <w:sz w:val="24"/>
          <w:szCs w:val="24"/>
          <w:rtl/>
          <w:lang w:val="en-US" w:bidi="fa-IR"/>
        </w:rPr>
        <w:t xml:space="preserve"> </w:t>
      </w:r>
    </w:p>
    <w:p w14:paraId="054FADB5" w14:textId="77777777" w:rsidR="000C4019" w:rsidRPr="000C4019" w:rsidRDefault="000C4019" w:rsidP="000C4019">
      <w:pPr>
        <w:bidi/>
        <w:jc w:val="both"/>
        <w:rPr>
          <w:rFonts w:ascii="Calibri" w:eastAsia="Calibri" w:hAnsi="Calibri" w:cs="B Nazanin"/>
          <w:sz w:val="24"/>
          <w:szCs w:val="24"/>
          <w:rtl/>
          <w:lang w:val="en-US" w:bidi="fa-IR"/>
        </w:rPr>
      </w:pPr>
      <w:r w:rsidRPr="000C4019">
        <w:rPr>
          <w:rFonts w:ascii="Calibri" w:eastAsia="Calibri" w:hAnsi="Calibri" w:cs="B Nazanin" w:hint="cs"/>
          <w:sz w:val="24"/>
          <w:szCs w:val="24"/>
          <w:rtl/>
          <w:lang w:val="en-US" w:bidi="fa-IR"/>
        </w:rPr>
        <w:t xml:space="preserve">حال، اگر بخواهیم علم اجتماعی واساختی را با عطف به مفهوم هویّت ایرانی مدّنظر قرار دهیم و، در واقع، اگر قصد داشته باشیم که اصول این گونه از علم اجتماعی را با هدف واگشایی مفهوم پیش‌گفته واکاوی نماییم، در درجۀ نخست لازم است که از این امر آگاهی داشته باشیم که در حال فراهم‌آوردن مقدّمات بحثی هستیم که با ضدّذات‌باوری در پیوند است و در مقابل جبهۀ ذات‌باور قرار دارد. </w:t>
      </w:r>
    </w:p>
    <w:p w14:paraId="5CC7A629" w14:textId="77777777" w:rsidR="000C4019" w:rsidRPr="000C4019" w:rsidRDefault="000C4019" w:rsidP="000C4019">
      <w:pPr>
        <w:bidi/>
        <w:ind w:firstLine="720"/>
        <w:jc w:val="both"/>
        <w:rPr>
          <w:rFonts w:ascii="Calibri" w:eastAsia="Calibri" w:hAnsi="Calibri" w:cs="B Nazanin"/>
          <w:sz w:val="24"/>
          <w:szCs w:val="24"/>
          <w:rtl/>
          <w:lang w:val="en-US" w:bidi="fa-IR"/>
        </w:rPr>
      </w:pPr>
      <w:r w:rsidRPr="000C4019">
        <w:rPr>
          <w:rFonts w:ascii="Calibri" w:eastAsia="Calibri" w:hAnsi="Calibri" w:cs="B Nazanin" w:hint="cs"/>
          <w:sz w:val="24"/>
          <w:szCs w:val="24"/>
          <w:rtl/>
          <w:lang w:val="en-US" w:bidi="fa-IR"/>
        </w:rPr>
        <w:t>علم اجتماعی واساختی در نخستین مواجهۀ اساسی خود با برساختۀ مفهومی هویّت ایرانی این امر را پیشِ روی می‌گذارد که این برساخته اگر تجسّم هم‌سان‌پنداری یا رویکرد هم‌سان‌ساز باشد یا حتی اگر کوچک‌ترین و جزئی‌ترین پیوندها را با گرایشی داشته باشد که درصدد تقلیل عناصر و مسائل هویّت‌های ایرانی به مجموعه‌ای واحد از اصول مشترک و متصلّب است، آسیب‌های جدّی و بعضاً جبران‌ناپذیری را متوجّه عناصر بنیادین و عناصر متشکّلۀ نظام اجتماعی خواهد کرد. بر این اساس، اگر «هویّت ایرانی» تحت لوای جریان حاکم بر ساحت علوم اجتماعی قرار گیرد یا بیش از این با رویکرد درون‌ماندگارانگار و اجزاء گوناگون آن در پیوند باشد، ظهور و بروز و وقوع آسیب‌های اجتماعی گریزناپذیر خواهد بود.</w:t>
      </w:r>
    </w:p>
    <w:p w14:paraId="723E4F94" w14:textId="77777777" w:rsidR="000C4019" w:rsidRPr="000C4019" w:rsidRDefault="000C4019" w:rsidP="000C4019">
      <w:pPr>
        <w:bidi/>
        <w:ind w:firstLine="720"/>
        <w:jc w:val="both"/>
        <w:rPr>
          <w:rFonts w:ascii="Calibri" w:eastAsia="Calibri" w:hAnsi="Calibri" w:cs="B Nazanin"/>
          <w:sz w:val="24"/>
          <w:szCs w:val="24"/>
          <w:rtl/>
          <w:lang w:val="en-US" w:bidi="fa-IR"/>
        </w:rPr>
      </w:pPr>
      <w:r w:rsidRPr="000C4019">
        <w:rPr>
          <w:rFonts w:ascii="Calibri" w:eastAsia="Calibri" w:hAnsi="Calibri" w:cs="B Nazanin" w:hint="cs"/>
          <w:sz w:val="24"/>
          <w:szCs w:val="24"/>
          <w:rtl/>
          <w:lang w:val="en-US" w:bidi="fa-IR"/>
        </w:rPr>
        <w:t>در حقیقت، علم اجتماعی واساختی به ما نشان می‌دهد که به برساختی از مفهوم هویّت ایرانی نیاز داریم که عناصر یا اجزاء آن به‌گونه‌ای بازاندیشانه با یکدیگر در پیوند باشند و «بازاندیشیِ مدام» اساس و بنیان وابستگی‌های متقابل آنان را شکل دهد. بدین‌نحو، هیچ‌کدام از این عناصر یا اجزاء مورد بی‌توجّهی یا کم‌توجّهی قرار نخواهد گرفت و ارتباط و پیوند هر یک از آن‌ها با بستر موسّع اجتماعی حفظ خواهد شد. برای این منظور، لازم و ضروری است که عناصر یا اجزاء برساخت هویّت ایرانی از بطن و متن تجارب کنشگران اجتماعی حاصل شوند و بر ارزیابی‌های مستمر رفت‌وآمدی و بر ارزیابی‌هایی استوار باشند که قائم به دیدگاه‌های کنشگران‌اند.</w:t>
      </w:r>
    </w:p>
    <w:p w14:paraId="5B7FD50E" w14:textId="77777777" w:rsidR="000C4019" w:rsidRPr="000C4019" w:rsidRDefault="000C4019" w:rsidP="000C4019">
      <w:pPr>
        <w:bidi/>
        <w:ind w:firstLine="720"/>
        <w:jc w:val="both"/>
        <w:rPr>
          <w:rFonts w:ascii="Calibri" w:eastAsia="Calibri" w:hAnsi="Calibri" w:cs="B Nazanin"/>
          <w:sz w:val="24"/>
          <w:szCs w:val="24"/>
          <w:rtl/>
          <w:lang w:val="en-US" w:bidi="fa-IR"/>
        </w:rPr>
      </w:pPr>
      <w:r w:rsidRPr="000C4019">
        <w:rPr>
          <w:rFonts w:ascii="Calibri" w:eastAsia="Calibri" w:hAnsi="Calibri" w:cs="B Nazanin" w:hint="cs"/>
          <w:sz w:val="24"/>
          <w:szCs w:val="24"/>
          <w:rtl/>
          <w:lang w:val="en-US" w:bidi="fa-IR"/>
        </w:rPr>
        <w:t>در صورتی که برساخت مفهومی هویّت ایرانی با بازاندیشی هم‌پیوند گردد، مقصود علم اجتماعی واساختی تا حدّ زیادی تأمین می‌گردد: در این صورت، با برساخت مفهومی‌ای مواجه خواهیم بود که هویّت‌های متنوّع و متکثّر اجتماعی را توأمان با این‌که خارج از بدنۀ اصلی قرار دارند به جزئی از کلیّت مبدّل می‌کند و به بینش نظری یا دیدگاهی دوام و قوام می‌بخشد که توأمان با این‌که از برون به درون می‌نگرد، برون را از درون مورد ملاحظه قرار می‌دهد. بدین‌طریق، بینش یا دیدگاهی نضج می‌گیرد که توأمان با این‌که هویّت‌های چندگانه را از سطح کلان اجتماعی می‌نگرد و هرکدام از آن‌ها را با ابتناء بر کلیّت «هویّت ایرانی» مطمح‌نظر قرار می‌دهد، به این کلیّت نیز براساس هویّت‌های خاص توجّه می‌کند.</w:t>
      </w:r>
    </w:p>
    <w:p w14:paraId="521D5054" w14:textId="77777777" w:rsidR="000C4019" w:rsidRPr="000C4019" w:rsidRDefault="000C4019" w:rsidP="000C4019">
      <w:pPr>
        <w:bidi/>
        <w:ind w:firstLine="720"/>
        <w:jc w:val="both"/>
        <w:rPr>
          <w:rFonts w:ascii="Calibri" w:eastAsia="Calibri" w:hAnsi="Calibri" w:cs="B Nazanin"/>
          <w:sz w:val="24"/>
          <w:szCs w:val="24"/>
          <w:rtl/>
          <w:lang w:val="en-US" w:bidi="fa-IR"/>
        </w:rPr>
      </w:pPr>
      <w:r w:rsidRPr="000C4019">
        <w:rPr>
          <w:rFonts w:ascii="Calibri" w:eastAsia="Calibri" w:hAnsi="Calibri" w:cs="B Nazanin" w:hint="cs"/>
          <w:sz w:val="24"/>
          <w:szCs w:val="24"/>
          <w:rtl/>
          <w:lang w:val="en-US" w:bidi="fa-IR"/>
        </w:rPr>
        <w:t xml:space="preserve">اگر چنین بینش یا دیدگاه نظری‌ای استوار و مستحکم شود و سایۀ خود را بر صورت‌بندی‌های مفهومی «هویّت ایرانی» بگستراند، فضا برای علم اجتماعی واساختی گشوده می‌گردد تا </w:t>
      </w:r>
      <w:r w:rsidRPr="000C4019">
        <w:rPr>
          <w:rFonts w:ascii="Calibri" w:eastAsia="Calibri" w:hAnsi="Calibri" w:cs="B Nazanin" w:hint="cs"/>
          <w:sz w:val="24"/>
          <w:szCs w:val="24"/>
          <w:rtl/>
          <w:cs/>
          <w:lang w:val="en-US" w:bidi="fa-IR"/>
        </w:rPr>
        <w:t>با شدّت و حدّت بیشتری از سیاست‌هایِ «هویّت‌سازِ» هم‎سان‎ساز تبرّی جوید و</w:t>
      </w:r>
      <w:r w:rsidRPr="000C4019">
        <w:rPr>
          <w:rFonts w:ascii="Calibri" w:eastAsia="Calibri" w:hAnsi="Calibri" w:cs="B Nazanin" w:hint="cs"/>
          <w:sz w:val="24"/>
          <w:szCs w:val="24"/>
          <w:rtl/>
          <w:lang w:val="en-US"/>
        </w:rPr>
        <w:t xml:space="preserve"> </w:t>
      </w:r>
      <w:r w:rsidRPr="000C4019">
        <w:rPr>
          <w:rFonts w:ascii="Calibri" w:eastAsia="Calibri" w:hAnsi="Calibri" w:cs="B Nazanin" w:hint="cs"/>
          <w:sz w:val="24"/>
          <w:szCs w:val="24"/>
          <w:rtl/>
          <w:lang w:val="en-US" w:bidi="fa-IR"/>
        </w:rPr>
        <w:t>برداشت‌های موجود 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منسوخ</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 xml:space="preserve">هویّت ایرانی را «واسازی» و سپس «بازسازی» و «برسازی» نماید. بدین‌نحو، با </w:t>
      </w:r>
      <w:r w:rsidRPr="000C4019">
        <w:rPr>
          <w:rFonts w:ascii="Calibri" w:eastAsia="Calibri" w:hAnsi="Calibri" w:cs="B Nazanin" w:hint="cs"/>
          <w:sz w:val="24"/>
          <w:szCs w:val="24"/>
          <w:rtl/>
          <w:lang w:val="en-US" w:bidi="fa-IR"/>
        </w:rPr>
        <w:lastRenderedPageBreak/>
        <w:t>گشودگی‌ای که از پس «فراگیری» حاصل می‌شود علم اجتماعی واساختی قادر می‌گردد که در برابر اشباح دامنه‌گستر ایده‌های تثبیت‌شده (ایمان و بندرریگی‌زاده، 1400: 65-70؛ 1401: 37-44) ایستادگی کند و تعاریف حاکم بر ساحت معنایی «هویّت ایرانی» را به چالش کشد و دامن این برساختۀ مفهومی را از جهان‌شمولیّت و از هر آن چیزی بزداید که از‌ـ‌پیش‌ـ‌تعیین‌کننده و از‌ـ‌پیش‌ـ‌تعیّن‌یافته است. «هویّت ایرانی»، بدین‌طریق، امکانیّت</w:t>
      </w:r>
      <w:r w:rsidRPr="000C4019">
        <w:rPr>
          <w:rFonts w:ascii="Calibri" w:eastAsia="Calibri" w:hAnsi="Calibri" w:cs="B Nazanin" w:hint="cs"/>
          <w:sz w:val="24"/>
          <w:szCs w:val="24"/>
          <w:rtl/>
          <w:cs/>
          <w:lang w:val="en-US" w:bidi="fa-IR"/>
        </w:rPr>
        <w:t xml:space="preserve">‎های جدیدی را برای برساختن </w:t>
      </w:r>
      <w:r w:rsidRPr="000C4019">
        <w:rPr>
          <w:rFonts w:ascii="Calibri" w:eastAsia="Calibri" w:hAnsi="Calibri" w:cs="B Nazanin" w:hint="cs"/>
          <w:sz w:val="24"/>
          <w:szCs w:val="24"/>
          <w:rtl/>
          <w:lang w:val="en-US" w:bidi="fa-IR"/>
        </w:rPr>
        <w:t xml:space="preserve">«خود» به منصۀ ظهور می‌رساند و به حمایت و دفاع از عاملیّت انسانی معنا می‌بخشد. </w:t>
      </w:r>
    </w:p>
    <w:p w14:paraId="499F82FA" w14:textId="15F0901A" w:rsidR="000C4019" w:rsidRPr="000C4019" w:rsidRDefault="000C4019" w:rsidP="007A4E34">
      <w:pPr>
        <w:bidi/>
        <w:spacing w:after="160"/>
        <w:ind w:firstLine="720"/>
        <w:jc w:val="both"/>
        <w:rPr>
          <w:rFonts w:ascii="Calibri" w:eastAsia="Calibri" w:hAnsi="Calibri" w:cs="B Nazanin"/>
          <w:sz w:val="24"/>
          <w:szCs w:val="24"/>
          <w:rtl/>
          <w:cs/>
          <w:lang w:val="en-US" w:bidi="fa-IR"/>
        </w:rPr>
      </w:pPr>
      <w:r w:rsidRPr="000C4019">
        <w:rPr>
          <w:rFonts w:ascii="Calibri" w:eastAsia="Calibri" w:hAnsi="Calibri" w:cs="B Nazanin" w:hint="cs"/>
          <w:sz w:val="24"/>
          <w:szCs w:val="24"/>
          <w:rtl/>
          <w:lang w:val="en-US" w:bidi="fa-IR"/>
        </w:rPr>
        <w:t xml:space="preserve">امّا، اگر بخواهیم بر گشودگی‌ای متمرکز شویم که توسّل به اصول علم اجتماعی واساختی پیشِ روی‌مان می‌گذارد، مفاهیم </w:t>
      </w:r>
      <w:r w:rsidRPr="000C4019">
        <w:rPr>
          <w:rFonts w:ascii="Calibri" w:eastAsia="Calibri" w:hAnsi="Calibri" w:cs="B Nazanin" w:hint="cs"/>
          <w:sz w:val="24"/>
          <w:szCs w:val="24"/>
          <w:rtl/>
          <w:cs/>
          <w:lang w:val="en-US" w:bidi="fa-IR"/>
        </w:rPr>
        <w:t>«تفاوت»</w:t>
      </w:r>
      <w:r w:rsidRPr="000C4019">
        <w:rPr>
          <w:rFonts w:ascii="Calibri" w:eastAsia="Calibri" w:hAnsi="Calibri" w:cs="B Nazanin" w:hint="cs"/>
          <w:sz w:val="24"/>
          <w:szCs w:val="24"/>
          <w:rtl/>
          <w:lang w:val="en-US" w:bidi="fa-IR"/>
        </w:rPr>
        <w:t xml:space="preserve"> و «دیگربودگی» را باید نصب‌العین قرار دهیم. اگر این گونۀ خاص از علم اجتماعی قادر گردد که راهبردهای مشخّصی را برای پرده‌برداشتن از</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آنتاگونیسم</w:t>
      </w:r>
      <w:r w:rsidRPr="000C4019">
        <w:rPr>
          <w:rFonts w:ascii="Calibri" w:eastAsia="Calibri" w:hAnsi="Calibri" w:cs="B Nazanin" w:hint="cs"/>
          <w:sz w:val="24"/>
          <w:szCs w:val="24"/>
          <w:cs/>
          <w:lang w:val="en-US" w:bidi="fa-IR"/>
        </w:rPr>
        <w:t>‎</w:t>
      </w:r>
      <w:r w:rsidRPr="000C4019">
        <w:rPr>
          <w:rFonts w:ascii="Calibri" w:eastAsia="Calibri" w:hAnsi="Calibri" w:cs="B Nazanin" w:hint="cs"/>
          <w:sz w:val="24"/>
          <w:szCs w:val="24"/>
          <w:rtl/>
          <w:lang w:val="en-US" w:bidi="fa-IR"/>
        </w:rPr>
        <w:t>ها</w:t>
      </w:r>
      <w:r w:rsidR="007A4E34">
        <w:rPr>
          <w:rFonts w:ascii="Calibri" w:eastAsia="Calibri" w:hAnsi="Calibri" w:cs="B Nazanin" w:hint="cs"/>
          <w:sz w:val="24"/>
          <w:szCs w:val="24"/>
          <w:vertAlign w:val="superscript"/>
          <w:rtl/>
          <w:lang w:val="en-US" w:bidi="fa-IR"/>
        </w:rPr>
        <w:t xml:space="preserve"> </w:t>
      </w:r>
      <w:r w:rsidRPr="000C4019">
        <w:rPr>
          <w:rFonts w:ascii="Calibri" w:eastAsia="Calibri" w:hAnsi="Calibri" w:cs="B Nazanin" w:hint="cs"/>
          <w:sz w:val="24"/>
          <w:szCs w:val="24"/>
          <w:rtl/>
          <w:lang w:val="en-US" w:bidi="fa-IR"/>
        </w:rPr>
        <w:t>و تفاوت‌های سرکوب</w:t>
      </w:r>
      <w:r w:rsidRPr="000C4019">
        <w:rPr>
          <w:rFonts w:ascii="Calibri" w:eastAsia="Calibri" w:hAnsi="Calibri" w:cs="B Nazanin" w:hint="cs"/>
          <w:sz w:val="24"/>
          <w:szCs w:val="24"/>
          <w:cs/>
          <w:lang w:val="en-US" w:bidi="fa-IR"/>
        </w:rPr>
        <w:t>‎</w:t>
      </w:r>
      <w:r w:rsidRPr="000C4019">
        <w:rPr>
          <w:rFonts w:ascii="Calibri" w:eastAsia="Calibri" w:hAnsi="Calibri" w:cs="B Nazanin" w:hint="cs"/>
          <w:sz w:val="24"/>
          <w:szCs w:val="24"/>
          <w:rtl/>
          <w:lang w:val="en-US" w:bidi="fa-IR"/>
        </w:rPr>
        <w:t>شدۀ اجتماعی به‌کار گیرد 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با اقدامات «واسازانۀ» خود</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تقابل‌های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مفهومی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و</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نظام‌های</w:t>
      </w:r>
      <w:r w:rsidRPr="000C4019">
        <w:rPr>
          <w:rFonts w:ascii="Calibri" w:eastAsia="Calibri" w:hAnsi="Calibri" w:cs="B Nazanin"/>
          <w:sz w:val="24"/>
          <w:szCs w:val="24"/>
          <w:rtl/>
          <w:lang w:val="en-US" w:bidi="fa-IR"/>
        </w:rPr>
        <w:t xml:space="preserve"> </w:t>
      </w:r>
      <w:r w:rsidRPr="000C4019">
        <w:rPr>
          <w:rFonts w:ascii="Calibri" w:eastAsia="Calibri" w:hAnsi="Calibri" w:cs="B Nazanin" w:hint="cs"/>
          <w:sz w:val="24"/>
          <w:szCs w:val="24"/>
          <w:rtl/>
          <w:lang w:val="en-US" w:bidi="fa-IR"/>
        </w:rPr>
        <w:t>سلسله‌مراتبیِ قهرآلودِ اقتدار و مرجعیّت را کم‌وبیش بی‌اثر سازد، برساختۀ مفهومی هویّت ایرانی به برساخته‌ای تبدیل می‌شود که همواره به روی «دیگری» گشوده می‌باشد. بدین‌نحو، «هویّت ایرانی» بیش از این‌که بر طرد یا بعضاً حذف اقلیّت‌ها دلالت کند، به شمولیّت و دربردارندگی تجسّم می‌بخشد و دیدگاهی را فراگیر می‌سازد که تفاوت‌های منکوب</w:t>
      </w:r>
      <w:r w:rsidRPr="000C4019">
        <w:rPr>
          <w:rFonts w:ascii="Calibri" w:eastAsia="Calibri" w:hAnsi="Calibri" w:cs="B Nazanin" w:hint="cs"/>
          <w:sz w:val="24"/>
          <w:szCs w:val="24"/>
          <w:rtl/>
          <w:cs/>
          <w:lang w:val="en-US" w:bidi="fa-IR"/>
        </w:rPr>
        <w:t xml:space="preserve">‎شده و </w:t>
      </w:r>
      <w:r w:rsidRPr="000C4019">
        <w:rPr>
          <w:rFonts w:ascii="Calibri" w:eastAsia="Calibri" w:hAnsi="Calibri" w:cs="B Nazanin" w:hint="cs"/>
          <w:sz w:val="24"/>
          <w:szCs w:val="24"/>
          <w:rtl/>
          <w:lang w:val="en-US" w:bidi="fa-IR"/>
        </w:rPr>
        <w:t>ناهم‌گونی‌های پنهان‌نگه‌داشته‌شده و صداهای خاموش‌شده را به‌حساب می</w:t>
      </w:r>
      <w:r w:rsidRPr="000C4019">
        <w:rPr>
          <w:rFonts w:ascii="Calibri" w:eastAsia="Calibri" w:hAnsi="Calibri" w:cs="B Nazanin" w:hint="cs"/>
          <w:sz w:val="24"/>
          <w:szCs w:val="24"/>
          <w:rtl/>
          <w:cs/>
          <w:lang w:val="en-US" w:bidi="fa-IR"/>
        </w:rPr>
        <w:t>‎آورد.</w:t>
      </w:r>
    </w:p>
    <w:p w14:paraId="07709035" w14:textId="77777777" w:rsidR="000C4019" w:rsidRPr="000C4019" w:rsidRDefault="000C4019" w:rsidP="000C4019">
      <w:pPr>
        <w:bidi/>
        <w:jc w:val="both"/>
        <w:rPr>
          <w:rFonts w:ascii="Calibri" w:eastAsia="Calibri" w:hAnsi="Calibri" w:cs="B Nazanin"/>
          <w:b/>
          <w:bCs/>
          <w:sz w:val="24"/>
          <w:szCs w:val="24"/>
          <w:rtl/>
          <w:cs/>
          <w:lang w:val="en-US" w:bidi="fa-IR"/>
        </w:rPr>
      </w:pPr>
      <w:r w:rsidRPr="000C4019">
        <w:rPr>
          <w:rFonts w:ascii="Calibri" w:eastAsia="Calibri" w:hAnsi="Calibri" w:cs="B Nazanin" w:hint="cs"/>
          <w:b/>
          <w:bCs/>
          <w:sz w:val="24"/>
          <w:szCs w:val="24"/>
          <w:rtl/>
          <w:cs/>
          <w:lang w:val="en-US" w:bidi="fa-IR"/>
        </w:rPr>
        <w:t>نتیجه‌گیری</w:t>
      </w:r>
    </w:p>
    <w:p w14:paraId="0458FD80" w14:textId="77777777" w:rsidR="000C4019" w:rsidRPr="000C4019" w:rsidRDefault="000C4019" w:rsidP="000C4019">
      <w:pPr>
        <w:bidi/>
        <w:jc w:val="both"/>
        <w:rPr>
          <w:rFonts w:ascii="Calibri" w:eastAsia="Calibri" w:hAnsi="Calibri" w:cs="B Nazanin"/>
          <w:sz w:val="24"/>
          <w:szCs w:val="24"/>
          <w:rtl/>
          <w:cs/>
          <w:lang w:val="en-US" w:bidi="fa-IR"/>
        </w:rPr>
      </w:pPr>
      <w:r w:rsidRPr="000C4019">
        <w:rPr>
          <w:rFonts w:ascii="Calibri" w:eastAsia="Calibri" w:hAnsi="Calibri" w:cs="B Nazanin" w:hint="cs"/>
          <w:sz w:val="24"/>
          <w:szCs w:val="24"/>
          <w:rtl/>
          <w:cs/>
          <w:lang w:val="en-US" w:bidi="fa-IR"/>
        </w:rPr>
        <w:t xml:space="preserve">صورتی از علم اجتماعی که از فلسفۀ واسازانۀ دریدا متأثّر می‌باشد </w:t>
      </w:r>
      <w:r w:rsidRPr="000C4019">
        <w:rPr>
          <w:rFonts w:ascii="Calibri" w:eastAsia="Calibri" w:hAnsi="Calibri" w:cs="B Nazanin" w:hint="cs"/>
          <w:sz w:val="24"/>
          <w:szCs w:val="24"/>
          <w:rtl/>
          <w:lang w:val="en-US" w:bidi="fa-IR"/>
        </w:rPr>
        <w:t>صورت‌بندی‌های موجود در باب مفهوم هویّت ایرانی را به پرسش می‌گیرد و</w:t>
      </w:r>
      <w:r w:rsidRPr="000C4019">
        <w:rPr>
          <w:rFonts w:eastAsia="+mn-ea" w:hAnsi="Calibri" w:cs="B Nazanin" w:hint="cs"/>
          <w:sz w:val="24"/>
          <w:szCs w:val="24"/>
          <w:rtl/>
          <w:lang w:val="en-US" w:bidi="fa-IR"/>
        </w:rPr>
        <w:t xml:space="preserve"> اَشکال جدیدی از ضدّ‌ـ ‌مرجع‌بنیادی را در برابر دیدگان ترسیم می‌کند. علم اجتماعی واساختی</w:t>
      </w:r>
      <w:r w:rsidRPr="000C4019">
        <w:rPr>
          <w:rFonts w:eastAsia="+mn-ea" w:cs="B Nazanin"/>
          <w:sz w:val="24"/>
          <w:szCs w:val="24"/>
          <w:rtl/>
          <w:lang w:val="en-US" w:bidi="fa-IR"/>
        </w:rPr>
        <w:t xml:space="preserve"> </w:t>
      </w:r>
      <w:r w:rsidRPr="000C4019">
        <w:rPr>
          <w:rFonts w:eastAsia="+mn-ea" w:cs="B Nazanin" w:hint="cs"/>
          <w:sz w:val="24"/>
          <w:szCs w:val="24"/>
          <w:rtl/>
          <w:lang w:val="en-US" w:bidi="fa-IR"/>
        </w:rPr>
        <w:t>این امکان را فراهم می‌آورد که</w:t>
      </w:r>
      <w:r w:rsidRPr="000C4019">
        <w:rPr>
          <w:rFonts w:eastAsia="+mn-ea" w:hAnsi="Calibri" w:cs="B Nazanin" w:hint="cs"/>
          <w:sz w:val="24"/>
          <w:szCs w:val="24"/>
          <w:rtl/>
          <w:lang w:val="en-US" w:bidi="fa-IR"/>
        </w:rPr>
        <w:t xml:space="preserve"> هر آن‌چه که هم‌اکنون، از زاویۀ دید رویکردهای اندیشه‌گانی موجود، اساس و بنیان «هویّت ایرانی» را شکل می‌دهد به امری تبدیل شود که همواره تشکیک‌پذیر و پذیرای تفکر، تأمّل و تعمّق است.</w:t>
      </w:r>
      <w:r w:rsidRPr="000C4019">
        <w:rPr>
          <w:rFonts w:ascii="Calibri" w:eastAsia="Calibri" w:hAnsi="Calibri" w:cs="B Nazanin" w:hint="cs"/>
          <w:sz w:val="24"/>
          <w:szCs w:val="24"/>
          <w:rtl/>
          <w:cs/>
          <w:lang w:val="en-US" w:bidi="fa-IR"/>
        </w:rPr>
        <w:t xml:space="preserve"> این دوگانه‌سازی اصولاً بر این امر مبتنی می‌باشد که علم اجتماعی واساختی امور خاص، جزئی و منفردِ مربوط به هویّت ایرانی را در برابر اصول عام جهان‌شمول قرار می‌دهد و تنش و تقابلی دائمی را میان این دو سویه مشخّص می‌نماید.</w:t>
      </w:r>
    </w:p>
    <w:p w14:paraId="6501CC79" w14:textId="1D2B78A5" w:rsidR="000C4019" w:rsidRPr="000C4019" w:rsidRDefault="000C4019" w:rsidP="0085701F">
      <w:pPr>
        <w:bidi/>
        <w:ind w:firstLine="720"/>
        <w:jc w:val="both"/>
        <w:textAlignment w:val="baseline"/>
        <w:rPr>
          <w:rFonts w:ascii="Times New Roman" w:eastAsia="Times New Roman" w:hAnsi="Times New Roman" w:cs="B Nazanin"/>
          <w:sz w:val="24"/>
          <w:szCs w:val="24"/>
          <w:rtl/>
          <w:lang w:val="en-US" w:bidi="fa-IR"/>
        </w:rPr>
      </w:pPr>
      <w:r w:rsidRPr="000C4019">
        <w:rPr>
          <w:rFonts w:ascii="Times New Roman" w:eastAsia="Times New Roman" w:hAnsi="Times New Roman" w:cs="B Nazanin" w:hint="cs"/>
          <w:sz w:val="24"/>
          <w:szCs w:val="24"/>
          <w:rtl/>
          <w:lang w:val="en-US" w:bidi="fa-IR"/>
        </w:rPr>
        <w:t>علم اجتماعی واساختی‌ــ در حقیقت امر‌ــ رویکرد، روش و راهبردی گسلنده</w:t>
      </w:r>
      <w:r w:rsidRPr="000C4019">
        <w:rPr>
          <w:rFonts w:ascii="Times New Roman" w:eastAsia="Times New Roman" w:hAnsi="Times New Roman" w:cs="B Nazanin" w:hint="cs"/>
          <w:sz w:val="24"/>
          <w:szCs w:val="24"/>
          <w:rtl/>
          <w:cs/>
          <w:lang w:val="en-US" w:bidi="fa-IR"/>
        </w:rPr>
        <w:t>‎ساز می‌باشد که دلایل شکست تفکرات بنیادگرا</w:t>
      </w:r>
      <w:r w:rsidRPr="000C4019">
        <w:rPr>
          <w:rFonts w:ascii="Times New Roman" w:eastAsia="Times New Roman" w:hAnsi="Times New Roman" w:cs="B Nazanin" w:hint="cs"/>
          <w:sz w:val="24"/>
          <w:szCs w:val="24"/>
          <w:rtl/>
          <w:lang w:val="en-US" w:bidi="fa-IR"/>
        </w:rPr>
        <w:t xml:space="preserve"> را به ما می‌آموزد و نسبت به دام</w:t>
      </w:r>
      <w:r w:rsidRPr="000C4019">
        <w:rPr>
          <w:rFonts w:ascii="Times New Roman" w:eastAsia="Times New Roman" w:hAnsi="Times New Roman" w:cs="B Nazanin" w:hint="cs"/>
          <w:sz w:val="24"/>
          <w:szCs w:val="24"/>
          <w:rtl/>
          <w:cs/>
          <w:lang w:val="en-US" w:bidi="fa-IR"/>
        </w:rPr>
        <w:t xml:space="preserve">‎های نظری و سیاسی آن آگاه‌مان می‎سازد. </w:t>
      </w:r>
      <w:r w:rsidRPr="000C4019">
        <w:rPr>
          <w:rFonts w:ascii="Times New Roman" w:eastAsia="Times New Roman" w:hAnsi="Times New Roman" w:cs="B Nazanin" w:hint="cs"/>
          <w:sz w:val="24"/>
          <w:szCs w:val="24"/>
          <w:rtl/>
          <w:lang w:val="en-US" w:bidi="fa-IR"/>
        </w:rPr>
        <w:t>این گونه از علم اجتماعی از یک‌سو در تلاش است تا برساختۀ هویّت ایرانی را با</w:t>
      </w:r>
      <w:r w:rsidRPr="000C4019">
        <w:rPr>
          <w:rFonts w:ascii="Times New Roman" w:eastAsia="Times New Roman" w:hAnsi="Times New Roman" w:cs="B Nazanin" w:hint="cs"/>
          <w:sz w:val="24"/>
          <w:szCs w:val="24"/>
          <w:rtl/>
          <w:cs/>
          <w:lang w:val="en-US" w:bidi="fa-IR"/>
        </w:rPr>
        <w:t xml:space="preserve"> انضمامیّتِ واقعیّت اجتماعی ترکیب کند و، از سوی دیگر، این برساخته را</w:t>
      </w:r>
      <w:r w:rsidRPr="000C4019">
        <w:rPr>
          <w:rFonts w:ascii="Times New Roman" w:eastAsia="Times New Roman" w:hAnsi="Times New Roman" w:cs="B Nazanin" w:hint="cs"/>
          <w:sz w:val="24"/>
          <w:szCs w:val="24"/>
          <w:rtl/>
          <w:lang w:val="en-US" w:bidi="fa-IR"/>
        </w:rPr>
        <w:t xml:space="preserve"> در تماس با ضدّ‌ـ‌ ذات‌گرایی</w:t>
      </w:r>
      <w:r w:rsidRPr="000C4019">
        <w:rPr>
          <w:rFonts w:ascii="Times New Roman" w:eastAsia="Times New Roman" w:hAnsi="Times New Roman" w:cs="B Nazanin" w:hint="cs"/>
          <w:sz w:val="24"/>
          <w:szCs w:val="24"/>
          <w:rtl/>
          <w:cs/>
          <w:lang w:val="en-US" w:bidi="fa-IR"/>
        </w:rPr>
        <w:t xml:space="preserve"> </w:t>
      </w:r>
      <w:r w:rsidRPr="000C4019">
        <w:rPr>
          <w:rFonts w:ascii="Times New Roman" w:eastAsia="Times New Roman" w:hAnsi="Times New Roman" w:cs="B Nazanin" w:hint="cs"/>
          <w:sz w:val="24"/>
          <w:szCs w:val="24"/>
          <w:rtl/>
          <w:lang w:val="en-US" w:bidi="fa-IR"/>
        </w:rPr>
        <w:t>کثرت</w:t>
      </w:r>
      <w:r w:rsidRPr="000C4019">
        <w:rPr>
          <w:rFonts w:ascii="Times New Roman" w:eastAsia="Times New Roman" w:hAnsi="Times New Roman" w:cs="B Nazanin" w:hint="cs"/>
          <w:sz w:val="24"/>
          <w:szCs w:val="24"/>
          <w:rtl/>
          <w:cs/>
          <w:lang w:val="en-US" w:bidi="fa-IR"/>
        </w:rPr>
        <w:t>‎مند سازد</w:t>
      </w:r>
      <w:r w:rsidRPr="000C4019">
        <w:rPr>
          <w:rFonts w:ascii="Times New Roman" w:eastAsia="Times New Roman" w:hAnsi="Times New Roman" w:cs="B Nazanin" w:hint="cs"/>
          <w:sz w:val="24"/>
          <w:szCs w:val="24"/>
          <w:rtl/>
          <w:lang w:val="en-US" w:bidi="fa-IR"/>
        </w:rPr>
        <w:t>. علم اجتماعی واساختی تمام جهد و کوشش خود را برای نقد پیش‌فرض</w:t>
      </w:r>
      <w:r w:rsidRPr="000C4019">
        <w:rPr>
          <w:rFonts w:ascii="Times New Roman" w:eastAsia="Times New Roman" w:hAnsi="Times New Roman" w:cs="B Nazanin" w:hint="cs"/>
          <w:sz w:val="24"/>
          <w:szCs w:val="24"/>
          <w:rtl/>
          <w:cs/>
          <w:lang w:val="en-US" w:bidi="fa-IR"/>
        </w:rPr>
        <w:t xml:space="preserve">‎هایِ متافیزیکیِ برساخت هویّت ایرانی و </w:t>
      </w:r>
      <w:r w:rsidRPr="000C4019">
        <w:rPr>
          <w:rFonts w:ascii="Times New Roman" w:eastAsia="Times New Roman" w:hAnsi="Times New Roman" w:cs="B Nazanin" w:hint="cs"/>
          <w:sz w:val="24"/>
          <w:szCs w:val="24"/>
          <w:rtl/>
          <w:lang w:val="en-US" w:bidi="fa-IR"/>
        </w:rPr>
        <w:t>به‌چالش</w:t>
      </w:r>
      <w:r w:rsidRPr="000C4019">
        <w:rPr>
          <w:rFonts w:ascii="Times New Roman" w:eastAsia="Times New Roman" w:hAnsi="Times New Roman" w:cs="B Nazanin" w:hint="cs"/>
          <w:sz w:val="24"/>
          <w:szCs w:val="24"/>
          <w:rtl/>
          <w:cs/>
          <w:lang w:val="en-US" w:bidi="fa-IR"/>
        </w:rPr>
        <w:t>‎کشیدن آن‌ها</w:t>
      </w:r>
      <w:r w:rsidRPr="000C4019">
        <w:rPr>
          <w:rFonts w:ascii="Times New Roman" w:eastAsia="Times New Roman" w:hAnsi="Times New Roman" w:cs="B Nazanin" w:hint="cs"/>
          <w:sz w:val="24"/>
          <w:szCs w:val="24"/>
          <w:rtl/>
          <w:lang w:val="en-US" w:bidi="fa-IR"/>
        </w:rPr>
        <w:t xml:space="preserve"> به</w:t>
      </w:r>
      <w:r w:rsidRPr="000C4019">
        <w:rPr>
          <w:rFonts w:ascii="Times New Roman" w:eastAsia="Times New Roman" w:hAnsi="Times New Roman" w:cs="B Nazanin" w:hint="cs"/>
          <w:sz w:val="24"/>
          <w:szCs w:val="24"/>
          <w:rtl/>
          <w:cs/>
          <w:lang w:val="en-US" w:bidi="fa-IR"/>
        </w:rPr>
        <w:t>‎کار می‎گیرد</w:t>
      </w:r>
      <w:r w:rsidRPr="000C4019">
        <w:rPr>
          <w:rFonts w:ascii="Times New Roman" w:eastAsia="Times New Roman" w:hAnsi="Times New Roman" w:cs="B Nazanin" w:hint="cs"/>
          <w:sz w:val="24"/>
          <w:szCs w:val="24"/>
          <w:rtl/>
          <w:lang w:val="en-US" w:bidi="fa-IR"/>
        </w:rPr>
        <w:t>.</w:t>
      </w:r>
    </w:p>
    <w:p w14:paraId="110E27E9" w14:textId="2E1DAC30" w:rsidR="000C4019" w:rsidRPr="000C4019" w:rsidRDefault="000C4019" w:rsidP="007A4E34">
      <w:pPr>
        <w:bidi/>
        <w:ind w:firstLine="720"/>
        <w:jc w:val="both"/>
        <w:textAlignment w:val="baseline"/>
        <w:rPr>
          <w:rFonts w:ascii="Times New Roman" w:eastAsia="Times New Roman" w:hAnsi="Times New Roman" w:cs="B Nazanin"/>
          <w:sz w:val="24"/>
          <w:szCs w:val="24"/>
          <w:rtl/>
          <w:lang w:val="en-US" w:bidi="fa-IR"/>
        </w:rPr>
      </w:pPr>
      <w:r w:rsidRPr="000C4019">
        <w:rPr>
          <w:rFonts w:ascii="Times New Roman" w:eastAsia="Times New Roman" w:hAnsi="Times New Roman" w:cs="B Nazanin" w:hint="cs"/>
          <w:sz w:val="24"/>
          <w:szCs w:val="24"/>
          <w:rtl/>
          <w:lang w:val="en-US" w:bidi="fa-IR"/>
        </w:rPr>
        <w:lastRenderedPageBreak/>
        <w:t xml:space="preserve">این اهداف دوگانه و نقد و مسئله‌برانگیزنمودن رویکردهای موجود صورتِ واقع نمی‌پذیرند مگر این‌که «هویّت ایرانی» در پیوند با عاملیّت و خودآئینی و در پیوند با </w:t>
      </w:r>
      <w:r w:rsidRPr="000C4019">
        <w:rPr>
          <w:rFonts w:ascii="Times New Roman" w:eastAsia="Times New Roman" w:hAnsi="Times New Roman" w:cs="B Nazanin" w:hint="cs"/>
          <w:sz w:val="24"/>
          <w:szCs w:val="24"/>
          <w:rtl/>
          <w:cs/>
          <w:lang w:val="en-US" w:bidi="fa-IR"/>
        </w:rPr>
        <w:t>بازشناسی</w:t>
      </w:r>
      <w:r w:rsidR="007A4E34">
        <w:rPr>
          <w:rFonts w:ascii="Times New Roman" w:eastAsia="Times New Roman" w:hAnsi="Times New Roman" w:cs="B Nazanin" w:hint="cs"/>
          <w:sz w:val="24"/>
          <w:szCs w:val="24"/>
          <w:vertAlign w:val="superscript"/>
          <w:rtl/>
          <w:lang w:val="en-US" w:bidi="fa-IR"/>
        </w:rPr>
        <w:t xml:space="preserve"> </w:t>
      </w:r>
      <w:r w:rsidRPr="000C4019">
        <w:rPr>
          <w:rFonts w:ascii="Times New Roman" w:eastAsia="Times New Roman" w:hAnsi="Times New Roman" w:cs="B Nazanin" w:hint="cs"/>
          <w:sz w:val="24"/>
          <w:szCs w:val="24"/>
          <w:rtl/>
          <w:cs/>
          <w:lang w:val="en-US" w:bidi="fa-IR"/>
        </w:rPr>
        <w:t>و بس‌گانگی</w:t>
      </w:r>
      <w:r w:rsidR="007A4E34">
        <w:rPr>
          <w:rFonts w:ascii="Times New Roman" w:eastAsia="Times New Roman" w:hAnsi="Times New Roman" w:cs="B Nazanin" w:hint="cs"/>
          <w:sz w:val="24"/>
          <w:szCs w:val="24"/>
          <w:vertAlign w:val="superscript"/>
          <w:rtl/>
          <w:cs/>
          <w:lang w:val="en-US" w:bidi="fa-IR"/>
        </w:rPr>
        <w:t xml:space="preserve"> </w:t>
      </w:r>
      <w:r w:rsidRPr="000C4019">
        <w:rPr>
          <w:rFonts w:ascii="Times New Roman" w:eastAsia="Times New Roman" w:hAnsi="Times New Roman" w:cs="B Nazanin" w:hint="cs"/>
          <w:sz w:val="24"/>
          <w:szCs w:val="24"/>
          <w:rtl/>
          <w:cs/>
          <w:lang w:val="en-US" w:bidi="fa-IR"/>
        </w:rPr>
        <w:t xml:space="preserve">برساخته شود. </w:t>
      </w:r>
      <w:r w:rsidRPr="000C4019">
        <w:rPr>
          <w:rFonts w:ascii="Times New Roman" w:eastAsia="Times New Roman" w:hAnsi="Times New Roman" w:cs="B Nazanin" w:hint="cs"/>
          <w:sz w:val="24"/>
          <w:szCs w:val="24"/>
          <w:rtl/>
          <w:lang w:val="en-US" w:bidi="fa-IR"/>
        </w:rPr>
        <w:t>از این جهت، لازم و ضروری است که علم اجتماعی واساختی در</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راه</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شکل</w:t>
      </w:r>
      <w:r w:rsidRPr="000C4019">
        <w:rPr>
          <w:rFonts w:ascii="Times New Roman" w:eastAsia="Times New Roman" w:hAnsi="Times New Roman" w:cs="B Nazanin" w:hint="cs"/>
          <w:sz w:val="24"/>
          <w:szCs w:val="24"/>
          <w:cs/>
          <w:lang w:val="en-US" w:bidi="fa-IR"/>
        </w:rPr>
        <w:t>‎</w:t>
      </w:r>
      <w:r w:rsidRPr="000C4019">
        <w:rPr>
          <w:rFonts w:ascii="Times New Roman" w:eastAsia="Times New Roman" w:hAnsi="Times New Roman" w:cs="B Nazanin" w:hint="cs"/>
          <w:sz w:val="24"/>
          <w:szCs w:val="24"/>
          <w:rtl/>
          <w:lang w:val="en-US" w:bidi="fa-IR"/>
        </w:rPr>
        <w:t>دادن</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به</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«خود»های</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جدید</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و</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صورت‌دادن به</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سوبژکتیویتۀ انسانی بکوشد،</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اهمیّت</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در</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حاشیه</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زیستن</w:t>
      </w:r>
      <w:r w:rsidRPr="000C4019">
        <w:rPr>
          <w:rFonts w:ascii="Times New Roman" w:eastAsia="Times New Roman" w:hAnsi="Times New Roman" w:cs="B Nazanin" w:hint="eastAsia"/>
          <w:sz w:val="24"/>
          <w:szCs w:val="24"/>
          <w:rtl/>
          <w:lang w:val="en-US" w:bidi="fa-IR"/>
        </w:rPr>
        <w:t>»</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و</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حاشیه</w:t>
      </w:r>
      <w:r w:rsidRPr="000C4019">
        <w:rPr>
          <w:rFonts w:ascii="Times New Roman" w:eastAsia="Times New Roman" w:hAnsi="Times New Roman" w:cs="B Nazanin" w:hint="cs"/>
          <w:sz w:val="24"/>
          <w:szCs w:val="24"/>
          <w:cs/>
          <w:lang w:val="en-US" w:bidi="fa-IR"/>
        </w:rPr>
        <w:t>‎</w:t>
      </w:r>
      <w:r w:rsidRPr="000C4019">
        <w:rPr>
          <w:rFonts w:ascii="Times New Roman" w:eastAsia="Times New Roman" w:hAnsi="Times New Roman" w:cs="B Nazanin" w:hint="cs"/>
          <w:sz w:val="24"/>
          <w:szCs w:val="24"/>
          <w:rtl/>
          <w:lang w:val="en-US" w:bidi="fa-IR"/>
        </w:rPr>
        <w:t>ای</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بودن</w:t>
      </w:r>
      <w:r w:rsidRPr="000C4019">
        <w:rPr>
          <w:rFonts w:ascii="Times New Roman" w:eastAsia="Times New Roman" w:hAnsi="Times New Roman" w:cs="B Nazanin" w:hint="eastAsia"/>
          <w:sz w:val="24"/>
          <w:szCs w:val="24"/>
          <w:rtl/>
          <w:lang w:val="en-US" w:bidi="fa-IR"/>
        </w:rPr>
        <w:t>»</w:t>
      </w:r>
      <w:r w:rsidRPr="000C4019">
        <w:rPr>
          <w:rFonts w:ascii="Times New Roman" w:eastAsia="Times New Roman" w:hAnsi="Times New Roman" w:cs="B Nazanin" w:hint="cs"/>
          <w:sz w:val="24"/>
          <w:szCs w:val="24"/>
          <w:rtl/>
          <w:lang w:val="en-US" w:bidi="fa-IR"/>
        </w:rPr>
        <w:t xml:space="preserve"> را مشخّص نماید و</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فضاهای</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 xml:space="preserve">انتقادی را رشد دهد، بر تعلّق به اجتماع انسانی تأکید ورزد و از </w:t>
      </w:r>
      <w:r w:rsidRPr="000C4019">
        <w:rPr>
          <w:rFonts w:ascii="Times New Roman" w:eastAsia="Times New Roman" w:hAnsi="Times New Roman" w:cs="B Nazanin"/>
          <w:sz w:val="24"/>
          <w:szCs w:val="24"/>
          <w:rtl/>
          <w:lang w:val="en-US" w:bidi="fa-IR"/>
        </w:rPr>
        <w:t>«</w:t>
      </w:r>
      <w:r w:rsidRPr="000C4019">
        <w:rPr>
          <w:rFonts w:ascii="Times New Roman" w:eastAsia="Times New Roman" w:hAnsi="Times New Roman" w:cs="B Nazanin" w:hint="cs"/>
          <w:sz w:val="24"/>
          <w:szCs w:val="24"/>
          <w:rtl/>
          <w:lang w:val="en-US" w:bidi="fa-IR"/>
        </w:rPr>
        <w:t>داشتنِ</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حق</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برای</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برخورداری</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از</w:t>
      </w:r>
      <w:r w:rsidRPr="000C4019">
        <w:rPr>
          <w:rFonts w:ascii="Times New Roman" w:eastAsia="Times New Roman" w:hAnsi="Times New Roman" w:cs="B Nazanin"/>
          <w:sz w:val="24"/>
          <w:szCs w:val="24"/>
          <w:rtl/>
          <w:lang w:val="en-US" w:bidi="fa-IR"/>
        </w:rPr>
        <w:t xml:space="preserve"> </w:t>
      </w:r>
      <w:r w:rsidRPr="000C4019">
        <w:rPr>
          <w:rFonts w:ascii="Times New Roman" w:eastAsia="Times New Roman" w:hAnsi="Times New Roman" w:cs="B Nazanin" w:hint="cs"/>
          <w:sz w:val="24"/>
          <w:szCs w:val="24"/>
          <w:rtl/>
          <w:lang w:val="en-US" w:bidi="fa-IR"/>
        </w:rPr>
        <w:t>حقوق</w:t>
      </w:r>
      <w:r w:rsidRPr="000C4019">
        <w:rPr>
          <w:rFonts w:ascii="Times New Roman" w:eastAsia="Times New Roman" w:hAnsi="Times New Roman" w:cs="B Nazanin" w:hint="eastAsia"/>
          <w:sz w:val="24"/>
          <w:szCs w:val="24"/>
          <w:rtl/>
          <w:lang w:val="en-US" w:bidi="fa-IR"/>
        </w:rPr>
        <w:t>»</w:t>
      </w:r>
      <w:r w:rsidRPr="000C4019">
        <w:rPr>
          <w:rFonts w:ascii="Times New Roman" w:eastAsia="Times New Roman" w:hAnsi="Times New Roman" w:cs="B Nazanin" w:hint="cs"/>
          <w:sz w:val="24"/>
          <w:szCs w:val="24"/>
          <w:rtl/>
          <w:lang w:val="en-US" w:bidi="fa-IR"/>
        </w:rPr>
        <w:t xml:space="preserve"> سخن گوید، تکثّر و تنوع و افتراق را سرلوحۀ خود داشته باشد و پراکندگی‌ها را در کلیّتی منتظم سامان دهد.</w:t>
      </w:r>
    </w:p>
    <w:p w14:paraId="671DC2F9" w14:textId="77777777" w:rsidR="000C4019" w:rsidRPr="000C4019" w:rsidRDefault="000C4019" w:rsidP="000C4019">
      <w:pPr>
        <w:bidi/>
        <w:ind w:firstLine="720"/>
        <w:jc w:val="both"/>
        <w:textAlignment w:val="baseline"/>
        <w:rPr>
          <w:rFonts w:ascii="Times New Roman" w:eastAsia="Times New Roman" w:hAnsi="Times New Roman" w:cs="B Nazanin"/>
          <w:sz w:val="24"/>
          <w:szCs w:val="24"/>
          <w:rtl/>
          <w:lang w:val="en-US" w:bidi="fa-IR"/>
        </w:rPr>
      </w:pPr>
    </w:p>
    <w:p w14:paraId="5B81FDA0" w14:textId="4F1766CB" w:rsidR="000C4019" w:rsidRPr="008922F7" w:rsidRDefault="00FA2181" w:rsidP="000C4019">
      <w:pPr>
        <w:keepNext/>
        <w:bidi/>
        <w:spacing w:line="240" w:lineRule="auto"/>
        <w:ind w:left="6"/>
        <w:jc w:val="both"/>
        <w:rPr>
          <w:rFonts w:ascii="Times New Roman" w:eastAsia="Times New Roman" w:hAnsi="Times New Roman" w:cs="B Nazanin"/>
          <w:b/>
          <w:sz w:val="24"/>
          <w:szCs w:val="24"/>
        </w:rPr>
      </w:pPr>
      <w:r w:rsidRPr="000C4019">
        <w:rPr>
          <w:rFonts w:ascii="Times New Roman" w:eastAsia="Times New Roman" w:hAnsi="Times New Roman" w:cs="B Nazanin"/>
          <w:bCs/>
          <w:rtl/>
        </w:rPr>
        <w:t>منابع</w:t>
      </w:r>
      <w:r w:rsidRPr="008922F7">
        <w:rPr>
          <w:rFonts w:ascii="Times New Roman" w:eastAsia="Times New Roman" w:hAnsi="Times New Roman" w:cs="B Nazanin"/>
          <w:b/>
          <w:sz w:val="24"/>
          <w:szCs w:val="24"/>
          <w:rtl/>
        </w:rPr>
        <w:t xml:space="preserve"> </w:t>
      </w:r>
    </w:p>
    <w:p w14:paraId="5F10F28B" w14:textId="77777777" w:rsidR="000C4019" w:rsidRPr="00466C48" w:rsidRDefault="000C4019" w:rsidP="000C4019">
      <w:pPr>
        <w:pStyle w:val="NormalWeb"/>
        <w:bidi/>
        <w:spacing w:before="0" w:beforeAutospacing="0" w:after="120" w:afterAutospacing="0" w:line="276" w:lineRule="auto"/>
        <w:jc w:val="both"/>
        <w:textAlignment w:val="baseline"/>
        <w:rPr>
          <w:rFonts w:cs="B Nazanin"/>
          <w:sz w:val="22"/>
          <w:szCs w:val="22"/>
          <w:rtl/>
          <w:lang w:bidi="fa-IR"/>
        </w:rPr>
      </w:pPr>
      <w:r w:rsidRPr="00466C48">
        <w:rPr>
          <w:rFonts w:cs="B Nazanin" w:hint="cs"/>
          <w:sz w:val="22"/>
          <w:szCs w:val="22"/>
          <w:rtl/>
          <w:lang w:bidi="fa-IR"/>
        </w:rPr>
        <w:t xml:space="preserve">ایمان، محمدتقی و بندرریگی‌زاده، علی (1400)، </w:t>
      </w:r>
      <w:r w:rsidRPr="00466C48">
        <w:rPr>
          <w:rFonts w:cs="B Nazanin" w:hint="cs"/>
          <w:i/>
          <w:iCs/>
          <w:sz w:val="22"/>
          <w:szCs w:val="22"/>
          <w:rtl/>
          <w:lang w:bidi="fa-IR"/>
        </w:rPr>
        <w:t>فلسفه جامعه‌شناسی: بنیان‌گذاری سنّت‌های قارّه‌ای [جلد اوّل]</w:t>
      </w:r>
      <w:r w:rsidRPr="00466C48">
        <w:rPr>
          <w:rFonts w:cs="B Nazanin" w:hint="cs"/>
          <w:sz w:val="22"/>
          <w:szCs w:val="22"/>
          <w:rtl/>
          <w:lang w:bidi="fa-IR"/>
        </w:rPr>
        <w:t>، قم: انتشارات پژوهشگاه حوزه و دانشگاه.</w:t>
      </w:r>
    </w:p>
    <w:p w14:paraId="283595A4" w14:textId="77777777" w:rsidR="000C4019" w:rsidRPr="00466C48" w:rsidRDefault="000C4019" w:rsidP="000C4019">
      <w:pPr>
        <w:pStyle w:val="NormalWeb"/>
        <w:bidi/>
        <w:spacing w:before="0" w:beforeAutospacing="0" w:after="120" w:afterAutospacing="0" w:line="276" w:lineRule="auto"/>
        <w:jc w:val="both"/>
        <w:textAlignment w:val="baseline"/>
        <w:rPr>
          <w:rFonts w:cs="B Nazanin"/>
          <w:sz w:val="22"/>
          <w:szCs w:val="22"/>
          <w:rtl/>
          <w:lang w:bidi="fa-IR"/>
        </w:rPr>
      </w:pPr>
      <w:r w:rsidRPr="00466C48">
        <w:rPr>
          <w:rFonts w:cs="B Nazanin" w:hint="cs"/>
          <w:sz w:val="22"/>
          <w:szCs w:val="22"/>
          <w:rtl/>
          <w:lang w:bidi="fa-IR"/>
        </w:rPr>
        <w:t>ایمان، محمدتقی و بندرریگی‌زاده، علی (1401)، «طرح‌</w:t>
      </w:r>
      <w:r w:rsidRPr="00466C48">
        <w:rPr>
          <w:rFonts w:cs="B Nazanin"/>
          <w:sz w:val="22"/>
          <w:szCs w:val="22"/>
          <w:rtl/>
          <w:lang w:bidi="fa-IR"/>
        </w:rPr>
        <w:t xml:space="preserve"> </w:t>
      </w:r>
      <w:r w:rsidRPr="00466C48">
        <w:rPr>
          <w:rFonts w:cs="B Nazanin" w:hint="cs"/>
          <w:sz w:val="22"/>
          <w:szCs w:val="22"/>
          <w:rtl/>
          <w:lang w:bidi="fa-IR"/>
        </w:rPr>
        <w:t>غیرذاتی،</w:t>
      </w:r>
      <w:r w:rsidRPr="00466C48">
        <w:rPr>
          <w:rFonts w:cs="B Nazanin"/>
          <w:sz w:val="22"/>
          <w:szCs w:val="22"/>
          <w:rtl/>
          <w:lang w:bidi="fa-IR"/>
        </w:rPr>
        <w:t xml:space="preserve"> </w:t>
      </w:r>
      <w:r w:rsidRPr="00466C48">
        <w:rPr>
          <w:rFonts w:cs="B Nazanin" w:hint="cs"/>
          <w:sz w:val="22"/>
          <w:szCs w:val="22"/>
          <w:rtl/>
          <w:lang w:bidi="fa-IR"/>
        </w:rPr>
        <w:t>ساحت</w:t>
      </w:r>
      <w:r w:rsidRPr="00466C48">
        <w:rPr>
          <w:rFonts w:cs="B Nazanin"/>
          <w:sz w:val="22"/>
          <w:szCs w:val="22"/>
          <w:rtl/>
          <w:lang w:bidi="fa-IR"/>
        </w:rPr>
        <w:t xml:space="preserve"> </w:t>
      </w:r>
      <w:r w:rsidRPr="00466C48">
        <w:rPr>
          <w:rFonts w:cs="B Nazanin" w:hint="cs"/>
          <w:sz w:val="22"/>
          <w:szCs w:val="22"/>
          <w:rtl/>
          <w:lang w:bidi="fa-IR"/>
        </w:rPr>
        <w:t>ذاتی</w:t>
      </w:r>
      <w:r w:rsidRPr="00466C48">
        <w:rPr>
          <w:rFonts w:cs="B Nazanin"/>
          <w:sz w:val="22"/>
          <w:szCs w:val="22"/>
          <w:rtl/>
          <w:lang w:bidi="fa-IR"/>
        </w:rPr>
        <w:t xml:space="preserve">: </w:t>
      </w:r>
      <w:r w:rsidRPr="00466C48">
        <w:rPr>
          <w:rFonts w:cs="B Nazanin" w:hint="cs"/>
          <w:sz w:val="22"/>
          <w:szCs w:val="22"/>
          <w:rtl/>
          <w:lang w:bidi="fa-IR"/>
        </w:rPr>
        <w:t>شبح‌وارگی</w:t>
      </w:r>
      <w:r w:rsidRPr="00466C48">
        <w:rPr>
          <w:rFonts w:cs="B Nazanin"/>
          <w:sz w:val="22"/>
          <w:szCs w:val="22"/>
          <w:rtl/>
          <w:lang w:bidi="fa-IR"/>
        </w:rPr>
        <w:t xml:space="preserve"> </w:t>
      </w:r>
      <w:r w:rsidRPr="00466C48">
        <w:rPr>
          <w:rFonts w:cs="B Nazanin" w:hint="cs"/>
          <w:sz w:val="22"/>
          <w:szCs w:val="22"/>
          <w:rtl/>
          <w:lang w:bidi="fa-IR"/>
        </w:rPr>
        <w:t>جهان،</w:t>
      </w:r>
      <w:r w:rsidRPr="00466C48">
        <w:rPr>
          <w:rFonts w:cs="B Nazanin"/>
          <w:sz w:val="22"/>
          <w:szCs w:val="22"/>
          <w:rtl/>
          <w:lang w:bidi="fa-IR"/>
        </w:rPr>
        <w:t xml:space="preserve"> </w:t>
      </w:r>
      <w:r w:rsidRPr="00466C48">
        <w:rPr>
          <w:rFonts w:cs="B Nazanin" w:hint="cs"/>
          <w:sz w:val="22"/>
          <w:szCs w:val="22"/>
          <w:rtl/>
          <w:lang w:bidi="fa-IR"/>
        </w:rPr>
        <w:t>شبح‌وارگی</w:t>
      </w:r>
      <w:r w:rsidRPr="00466C48">
        <w:rPr>
          <w:rFonts w:cs="B Nazanin"/>
          <w:sz w:val="22"/>
          <w:szCs w:val="22"/>
          <w:rtl/>
          <w:lang w:bidi="fa-IR"/>
        </w:rPr>
        <w:t xml:space="preserve"> </w:t>
      </w:r>
      <w:r w:rsidRPr="00466C48">
        <w:rPr>
          <w:rFonts w:cs="B Nazanin" w:hint="cs"/>
          <w:sz w:val="22"/>
          <w:szCs w:val="22"/>
          <w:rtl/>
          <w:lang w:bidi="fa-IR"/>
        </w:rPr>
        <w:t xml:space="preserve">انسان»، </w:t>
      </w:r>
      <w:r w:rsidRPr="00466C48">
        <w:rPr>
          <w:rFonts w:cs="B Nazanin" w:hint="cs"/>
          <w:i/>
          <w:iCs/>
          <w:sz w:val="22"/>
          <w:szCs w:val="22"/>
          <w:rtl/>
          <w:lang w:bidi="fa-IR"/>
        </w:rPr>
        <w:t>فصلنامه علمی‌ـ‌ پژوهشی حکمت و فلسفه دانشگاه علامه طباطبایی</w:t>
      </w:r>
      <w:r w:rsidRPr="00466C48">
        <w:rPr>
          <w:rFonts w:cs="B Nazanin" w:hint="cs"/>
          <w:sz w:val="22"/>
          <w:szCs w:val="22"/>
          <w:rtl/>
          <w:lang w:bidi="fa-IR"/>
        </w:rPr>
        <w:t xml:space="preserve">، 18(72)، 25-53. </w:t>
      </w:r>
    </w:p>
    <w:p w14:paraId="2ABA7192" w14:textId="27F6AC3F" w:rsidR="000C4019" w:rsidRPr="007810E7" w:rsidRDefault="000C4019" w:rsidP="000C4019">
      <w:pPr>
        <w:spacing w:after="120"/>
        <w:jc w:val="lowKashida"/>
        <w:rPr>
          <w:rFonts w:asciiTheme="majorBidi" w:hAnsiTheme="majorBidi" w:cs="B Lotus"/>
          <w:sz w:val="20"/>
          <w:szCs w:val="20"/>
          <w:lang w:bidi="fa-IR"/>
        </w:rPr>
      </w:pPr>
      <w:r w:rsidRPr="007810E7">
        <w:rPr>
          <w:rFonts w:asciiTheme="majorBidi" w:hAnsiTheme="majorBidi" w:cs="B Lotus"/>
          <w:sz w:val="20"/>
          <w:szCs w:val="20"/>
          <w:lang w:bidi="fa-IR"/>
        </w:rPr>
        <w:t xml:space="preserve">Derrida, Jacques (1999), </w:t>
      </w:r>
      <w:r w:rsidRPr="007810E7">
        <w:rPr>
          <w:rFonts w:asciiTheme="majorBidi" w:hAnsiTheme="majorBidi" w:cs="B Lotus"/>
          <w:i/>
          <w:iCs/>
          <w:sz w:val="20"/>
          <w:szCs w:val="20"/>
        </w:rPr>
        <w:t>Deconstruction in a Nutshell: A Conversation with Jacques Derrida</w:t>
      </w:r>
      <w:r w:rsidRPr="007810E7">
        <w:rPr>
          <w:rFonts w:asciiTheme="majorBidi" w:hAnsiTheme="majorBidi" w:cs="B Lotus"/>
          <w:sz w:val="20"/>
          <w:szCs w:val="20"/>
        </w:rPr>
        <w:t xml:space="preserve">, Edited with a </w:t>
      </w:r>
      <w:r w:rsidR="00EF2041" w:rsidRPr="007810E7">
        <w:rPr>
          <w:rFonts w:asciiTheme="majorBidi" w:hAnsiTheme="majorBidi" w:cs="B Lotus"/>
          <w:sz w:val="20"/>
          <w:szCs w:val="20"/>
        </w:rPr>
        <w:t>C</w:t>
      </w:r>
      <w:r w:rsidRPr="007810E7">
        <w:rPr>
          <w:rFonts w:asciiTheme="majorBidi" w:hAnsiTheme="majorBidi" w:cs="B Lotus"/>
          <w:sz w:val="20"/>
          <w:szCs w:val="20"/>
        </w:rPr>
        <w:t>ommentary by John D. Caputo, New York: Fordham University Press.</w:t>
      </w:r>
    </w:p>
    <w:p w14:paraId="4DA3C255" w14:textId="4363822E" w:rsidR="000C4019" w:rsidRDefault="000C4019" w:rsidP="000C4019">
      <w:pPr>
        <w:spacing w:after="120"/>
        <w:jc w:val="both"/>
        <w:rPr>
          <w:rFonts w:asciiTheme="majorBidi" w:hAnsiTheme="majorBidi" w:cs="B Lotus"/>
          <w:sz w:val="20"/>
          <w:szCs w:val="20"/>
          <w:rtl/>
          <w:lang w:bidi="fa-IR"/>
        </w:rPr>
      </w:pPr>
      <w:r w:rsidRPr="007810E7">
        <w:rPr>
          <w:rFonts w:asciiTheme="majorBidi" w:hAnsiTheme="majorBidi" w:cs="B Lotus"/>
          <w:sz w:val="20"/>
          <w:szCs w:val="20"/>
          <w:lang w:bidi="fa-IR"/>
        </w:rPr>
        <w:t xml:space="preserve">Derrida, Jacques (2001), </w:t>
      </w:r>
      <w:r w:rsidRPr="007810E7">
        <w:rPr>
          <w:rFonts w:asciiTheme="majorBidi" w:hAnsiTheme="majorBidi" w:cs="B Lotus"/>
          <w:i/>
          <w:iCs/>
          <w:sz w:val="20"/>
          <w:szCs w:val="20"/>
          <w:lang w:bidi="fa-IR"/>
        </w:rPr>
        <w:t>Writing and Difference</w:t>
      </w:r>
      <w:r w:rsidRPr="007810E7">
        <w:rPr>
          <w:rFonts w:asciiTheme="majorBidi" w:hAnsiTheme="majorBidi" w:cs="B Lotus"/>
          <w:sz w:val="20"/>
          <w:szCs w:val="20"/>
          <w:lang w:bidi="fa-IR"/>
        </w:rPr>
        <w:t>,</w:t>
      </w:r>
      <w:r w:rsidRPr="007810E7">
        <w:rPr>
          <w:rFonts w:cs="B Lotus"/>
          <w:sz w:val="20"/>
          <w:szCs w:val="20"/>
        </w:rPr>
        <w:t xml:space="preserve"> </w:t>
      </w:r>
      <w:r w:rsidRPr="007810E7">
        <w:rPr>
          <w:rFonts w:asciiTheme="majorBidi" w:hAnsiTheme="majorBidi" w:cs="B Lotus"/>
          <w:sz w:val="20"/>
          <w:szCs w:val="20"/>
          <w:lang w:bidi="fa-IR"/>
        </w:rPr>
        <w:t>Translated by</w:t>
      </w:r>
      <w:r w:rsidRPr="007810E7">
        <w:rPr>
          <w:rFonts w:cs="B Lotus"/>
          <w:sz w:val="20"/>
          <w:szCs w:val="20"/>
        </w:rPr>
        <w:t xml:space="preserve"> </w:t>
      </w:r>
      <w:r w:rsidRPr="007810E7">
        <w:rPr>
          <w:rFonts w:asciiTheme="majorBidi" w:hAnsiTheme="majorBidi" w:cs="B Lotus"/>
          <w:sz w:val="20"/>
          <w:szCs w:val="20"/>
          <w:lang w:bidi="fa-IR"/>
        </w:rPr>
        <w:t>Alan Bass,</w:t>
      </w:r>
      <w:r w:rsidRPr="007810E7">
        <w:rPr>
          <w:rFonts w:cs="B Lotus"/>
          <w:sz w:val="20"/>
          <w:szCs w:val="20"/>
        </w:rPr>
        <w:t xml:space="preserve"> </w:t>
      </w:r>
      <w:r w:rsidRPr="007810E7">
        <w:rPr>
          <w:rFonts w:asciiTheme="majorBidi" w:hAnsiTheme="majorBidi" w:cs="B Lotus"/>
          <w:sz w:val="20"/>
          <w:szCs w:val="20"/>
          <w:lang w:bidi="fa-IR"/>
        </w:rPr>
        <w:t>London and New York: Routledge.</w:t>
      </w:r>
    </w:p>
    <w:p w14:paraId="5B860942" w14:textId="1BD25D84" w:rsidR="007A4E34" w:rsidRDefault="007A4E34" w:rsidP="000C4019">
      <w:pPr>
        <w:spacing w:after="120"/>
        <w:jc w:val="both"/>
        <w:rPr>
          <w:rFonts w:asciiTheme="majorBidi" w:hAnsiTheme="majorBidi" w:cs="B Lotus"/>
          <w:sz w:val="20"/>
          <w:szCs w:val="20"/>
          <w:rtl/>
          <w:lang w:bidi="fa-IR"/>
        </w:rPr>
      </w:pPr>
    </w:p>
    <w:p w14:paraId="705A58CF" w14:textId="550DDE75" w:rsidR="0085701F" w:rsidRDefault="0085701F" w:rsidP="000C4019">
      <w:pPr>
        <w:spacing w:after="120"/>
        <w:jc w:val="both"/>
        <w:rPr>
          <w:rFonts w:asciiTheme="majorBidi" w:hAnsiTheme="majorBidi" w:cs="B Lotus"/>
          <w:sz w:val="20"/>
          <w:szCs w:val="20"/>
          <w:rtl/>
          <w:lang w:bidi="fa-IR"/>
        </w:rPr>
      </w:pPr>
    </w:p>
    <w:p w14:paraId="101BFFA8" w14:textId="4982509B" w:rsidR="0085701F" w:rsidRDefault="0085701F" w:rsidP="000C4019">
      <w:pPr>
        <w:spacing w:after="120"/>
        <w:jc w:val="both"/>
        <w:rPr>
          <w:rFonts w:asciiTheme="majorBidi" w:hAnsiTheme="majorBidi" w:cs="B Lotus"/>
          <w:sz w:val="20"/>
          <w:szCs w:val="20"/>
          <w:rtl/>
          <w:lang w:bidi="fa-IR"/>
        </w:rPr>
      </w:pPr>
    </w:p>
    <w:p w14:paraId="275B1949" w14:textId="6CE5CA3A" w:rsidR="007D66D8" w:rsidRDefault="007D66D8" w:rsidP="000C4019">
      <w:pPr>
        <w:spacing w:after="120"/>
        <w:jc w:val="both"/>
        <w:rPr>
          <w:rFonts w:asciiTheme="majorBidi" w:hAnsiTheme="majorBidi" w:cs="B Lotus"/>
          <w:sz w:val="20"/>
          <w:szCs w:val="20"/>
          <w:rtl/>
          <w:lang w:bidi="fa-IR"/>
        </w:rPr>
      </w:pPr>
    </w:p>
    <w:p w14:paraId="468C0290" w14:textId="044B32F2" w:rsidR="007D66D8" w:rsidRDefault="007D66D8" w:rsidP="000C4019">
      <w:pPr>
        <w:spacing w:after="120"/>
        <w:jc w:val="both"/>
        <w:rPr>
          <w:rFonts w:asciiTheme="majorBidi" w:hAnsiTheme="majorBidi" w:cs="B Lotus"/>
          <w:sz w:val="20"/>
          <w:szCs w:val="20"/>
          <w:rtl/>
          <w:lang w:bidi="fa-IR"/>
        </w:rPr>
      </w:pPr>
    </w:p>
    <w:p w14:paraId="53EE1F37" w14:textId="71306EBF" w:rsidR="007D66D8" w:rsidRDefault="007D66D8" w:rsidP="000C4019">
      <w:pPr>
        <w:spacing w:after="120"/>
        <w:jc w:val="both"/>
        <w:rPr>
          <w:rFonts w:asciiTheme="majorBidi" w:hAnsiTheme="majorBidi" w:cs="B Lotus"/>
          <w:sz w:val="20"/>
          <w:szCs w:val="20"/>
          <w:rtl/>
          <w:lang w:bidi="fa-IR"/>
        </w:rPr>
      </w:pPr>
    </w:p>
    <w:p w14:paraId="6A15998F" w14:textId="59B0ECAC" w:rsidR="007D66D8" w:rsidRDefault="007D66D8" w:rsidP="000C4019">
      <w:pPr>
        <w:spacing w:after="120"/>
        <w:jc w:val="both"/>
        <w:rPr>
          <w:rFonts w:asciiTheme="majorBidi" w:hAnsiTheme="majorBidi" w:cs="B Lotus"/>
          <w:sz w:val="20"/>
          <w:szCs w:val="20"/>
          <w:rtl/>
          <w:lang w:bidi="fa-IR"/>
        </w:rPr>
      </w:pPr>
    </w:p>
    <w:p w14:paraId="737467A2" w14:textId="77777777" w:rsidR="007D66D8" w:rsidRPr="00466C48" w:rsidRDefault="007D66D8" w:rsidP="000C4019">
      <w:pPr>
        <w:spacing w:after="120"/>
        <w:jc w:val="both"/>
        <w:rPr>
          <w:rFonts w:asciiTheme="majorBidi" w:hAnsiTheme="majorBidi" w:cs="B Lotus"/>
          <w:sz w:val="20"/>
          <w:szCs w:val="20"/>
          <w:rtl/>
          <w:lang w:bidi="fa-IR"/>
        </w:rPr>
      </w:pPr>
    </w:p>
    <w:p w14:paraId="7DC9A0DE" w14:textId="77777777" w:rsidR="00D5625B" w:rsidRPr="008922F7" w:rsidRDefault="00D5625B">
      <w:pPr>
        <w:widowControl w:val="0"/>
        <w:bidi/>
        <w:spacing w:line="240" w:lineRule="auto"/>
        <w:jc w:val="both"/>
        <w:rPr>
          <w:rFonts w:ascii="Times New Roman" w:eastAsia="Times New Roman" w:hAnsi="Times New Roman" w:cs="B Nazanin"/>
          <w:sz w:val="24"/>
          <w:szCs w:val="24"/>
        </w:rPr>
      </w:pPr>
    </w:p>
    <w:p w14:paraId="0C138DF7" w14:textId="77777777" w:rsidR="00D5625B" w:rsidRDefault="00D5625B">
      <w:pPr>
        <w:widowControl w:val="0"/>
        <w:bidi/>
        <w:spacing w:line="240" w:lineRule="auto"/>
        <w:jc w:val="both"/>
        <w:rPr>
          <w:rFonts w:ascii="Times New Roman" w:eastAsia="Times New Roman" w:hAnsi="Times New Roman" w:cs="Times New Roman"/>
          <w:sz w:val="24"/>
          <w:szCs w:val="24"/>
        </w:rPr>
      </w:pPr>
    </w:p>
    <w:p w14:paraId="653A0123" w14:textId="38BC8280" w:rsidR="00D5625B" w:rsidRDefault="00FA2181">
      <w:pPr>
        <w:widowControl w:val="0"/>
        <w:bidi/>
        <w:spacing w:line="240" w:lineRule="auto"/>
        <w:jc w:val="both"/>
        <w:rPr>
          <w:rFonts w:ascii="Times New Roman" w:eastAsia="Times New Roman" w:hAnsi="Times New Roman" w:cs="Times New Roman"/>
          <w:sz w:val="8"/>
          <w:szCs w:val="8"/>
        </w:rPr>
      </w:pPr>
      <w:r>
        <w:rPr>
          <w:rFonts w:ascii="Times New Roman" w:eastAsia="Times New Roman" w:hAnsi="Times New Roman" w:cs="Times New Roman"/>
          <w:b/>
          <w:noProof/>
          <w:sz w:val="24"/>
          <w:szCs w:val="24"/>
          <w:lang w:val="en-US"/>
        </w:rPr>
        <w:lastRenderedPageBreak/>
        <w:drawing>
          <wp:anchor distT="0" distB="0" distL="114300" distR="114300" simplePos="0" relativeHeight="251659264" behindDoc="0" locked="0" layoutInCell="1" hidden="0" allowOverlap="1" wp14:anchorId="7CBB4B9A" wp14:editId="66E7D2BC">
            <wp:simplePos x="0" y="0"/>
            <wp:positionH relativeFrom="page">
              <wp:align>left</wp:align>
            </wp:positionH>
            <wp:positionV relativeFrom="page">
              <wp:align>bottom</wp:align>
            </wp:positionV>
            <wp:extent cx="7791450" cy="1336675"/>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791450" cy="1336675"/>
                    </a:xfrm>
                    <a:prstGeom prst="rect">
                      <a:avLst/>
                    </a:prstGeom>
                    <a:ln/>
                  </pic:spPr>
                </pic:pic>
              </a:graphicData>
            </a:graphic>
          </wp:anchor>
        </w:drawing>
      </w:r>
    </w:p>
    <w:p w14:paraId="0725022C" w14:textId="0528DE4B" w:rsidR="00D5625B" w:rsidRDefault="00EF2041" w:rsidP="00EF2041">
      <w:pPr>
        <w:widowControl w:val="0"/>
        <w:spacing w:after="200"/>
        <w:jc w:val="center"/>
        <w:rPr>
          <w:rFonts w:asciiTheme="majorBidi" w:hAnsiTheme="majorBidi" w:cs="B Lotus"/>
          <w:b/>
          <w:bCs/>
          <w:sz w:val="28"/>
          <w:szCs w:val="28"/>
          <w:lang w:bidi="fa-IR"/>
        </w:rPr>
      </w:pPr>
      <w:r w:rsidRPr="003A0AB4">
        <w:rPr>
          <w:rFonts w:asciiTheme="majorBidi" w:hAnsiTheme="majorBidi" w:cs="B Lotus"/>
          <w:b/>
          <w:bCs/>
          <w:sz w:val="28"/>
          <w:szCs w:val="28"/>
          <w:lang w:bidi="fa-IR"/>
        </w:rPr>
        <w:t>Deconstructive Social Science and the Concept of “Iranian Identity”</w:t>
      </w:r>
    </w:p>
    <w:p w14:paraId="0BE49CCB" w14:textId="77777777" w:rsidR="00EF2041" w:rsidRDefault="00EF2041" w:rsidP="00EF2041">
      <w:pPr>
        <w:widowControl w:val="0"/>
        <w:spacing w:after="200"/>
        <w:jc w:val="center"/>
        <w:rPr>
          <w:rFonts w:ascii="Garamond" w:eastAsia="Garamond" w:hAnsi="Garamond" w:cs="Garamond"/>
          <w:sz w:val="18"/>
          <w:szCs w:val="18"/>
        </w:rPr>
      </w:pPr>
    </w:p>
    <w:p w14:paraId="0402CD9E" w14:textId="67FECA4D" w:rsidR="00EF2041" w:rsidRPr="00E37D04" w:rsidRDefault="00EF2041" w:rsidP="00EF2041">
      <w:pPr>
        <w:spacing w:line="240" w:lineRule="auto"/>
        <w:jc w:val="center"/>
        <w:rPr>
          <w:rFonts w:asciiTheme="majorBidi" w:hAnsiTheme="majorBidi" w:cstheme="majorBidi"/>
          <w:b/>
          <w:bCs/>
          <w:rtl/>
          <w:lang w:bidi="fa-IR"/>
        </w:rPr>
      </w:pPr>
      <w:r w:rsidRPr="00E37D04">
        <w:rPr>
          <w:rFonts w:asciiTheme="majorBidi" w:hAnsiTheme="majorBidi" w:cstheme="majorBidi"/>
          <w:b/>
          <w:bCs/>
          <w:lang w:bidi="fa-IR"/>
        </w:rPr>
        <w:t xml:space="preserve">Mohammad </w:t>
      </w:r>
      <w:proofErr w:type="spellStart"/>
      <w:r w:rsidRPr="00E37D04">
        <w:rPr>
          <w:rFonts w:asciiTheme="majorBidi" w:hAnsiTheme="majorBidi" w:cstheme="majorBidi"/>
          <w:b/>
          <w:bCs/>
          <w:lang w:bidi="fa-IR"/>
        </w:rPr>
        <w:t>Taghi</w:t>
      </w:r>
      <w:proofErr w:type="spellEnd"/>
      <w:r w:rsidRPr="00E37D04">
        <w:rPr>
          <w:rFonts w:asciiTheme="majorBidi" w:hAnsiTheme="majorBidi" w:cstheme="majorBidi"/>
          <w:b/>
          <w:bCs/>
          <w:lang w:bidi="fa-IR"/>
        </w:rPr>
        <w:t xml:space="preserve"> </w:t>
      </w:r>
      <w:proofErr w:type="spellStart"/>
      <w:r w:rsidRPr="00E37D04">
        <w:rPr>
          <w:rFonts w:asciiTheme="majorBidi" w:hAnsiTheme="majorBidi" w:cstheme="majorBidi"/>
          <w:b/>
          <w:bCs/>
          <w:lang w:bidi="fa-IR"/>
        </w:rPr>
        <w:t>Iman</w:t>
      </w:r>
      <w:proofErr w:type="spellEnd"/>
      <w:r w:rsidRPr="00E37D04">
        <w:rPr>
          <w:rFonts w:asciiTheme="majorBidi" w:hAnsiTheme="majorBidi" w:cstheme="majorBidi"/>
          <w:b/>
          <w:bCs/>
          <w:lang w:bidi="fa-IR"/>
        </w:rPr>
        <w:t>, PhD.</w:t>
      </w:r>
    </w:p>
    <w:p w14:paraId="05C66459" w14:textId="5AA99B38" w:rsidR="00EF2041" w:rsidRPr="00EF2041" w:rsidRDefault="00EF2041" w:rsidP="00EF2041">
      <w:pPr>
        <w:spacing w:line="240" w:lineRule="auto"/>
        <w:jc w:val="center"/>
        <w:rPr>
          <w:rFonts w:asciiTheme="majorBidi" w:hAnsiTheme="majorBidi" w:cstheme="majorBidi"/>
          <w:sz w:val="20"/>
          <w:szCs w:val="20"/>
          <w:lang w:bidi="fa-IR"/>
        </w:rPr>
      </w:pPr>
      <w:r w:rsidRPr="00EF2041">
        <w:rPr>
          <w:rFonts w:asciiTheme="majorBidi" w:hAnsiTheme="majorBidi" w:cstheme="majorBidi"/>
          <w:sz w:val="20"/>
          <w:szCs w:val="20"/>
          <w:lang w:bidi="fa-IR"/>
        </w:rPr>
        <w:t>Professor of Sociology Department, Shiraz University, Shiraz, Iran</w:t>
      </w:r>
      <w:r w:rsidR="006567E1">
        <w:rPr>
          <w:rFonts w:asciiTheme="majorBidi" w:hAnsiTheme="majorBidi" w:cstheme="majorBidi"/>
          <w:sz w:val="20"/>
          <w:szCs w:val="20"/>
          <w:lang w:bidi="fa-IR"/>
        </w:rPr>
        <w:t>.</w:t>
      </w:r>
    </w:p>
    <w:p w14:paraId="067C4BB5" w14:textId="0CCBE96B" w:rsidR="00EF2041" w:rsidRDefault="00EF2041" w:rsidP="00EF2041">
      <w:pPr>
        <w:spacing w:line="240" w:lineRule="auto"/>
        <w:jc w:val="center"/>
        <w:rPr>
          <w:rFonts w:asciiTheme="majorBidi" w:hAnsiTheme="majorBidi" w:cstheme="majorBidi"/>
          <w:sz w:val="20"/>
          <w:szCs w:val="20"/>
          <w:rtl/>
          <w:lang w:bidi="fa-IR"/>
        </w:rPr>
      </w:pPr>
      <w:r>
        <w:rPr>
          <w:rFonts w:asciiTheme="majorBidi" w:hAnsiTheme="majorBidi" w:cstheme="majorBidi"/>
          <w:sz w:val="20"/>
          <w:szCs w:val="20"/>
          <w:lang w:bidi="fa-IR"/>
        </w:rPr>
        <w:t xml:space="preserve">E-mail: </w:t>
      </w:r>
      <w:hyperlink r:id="rId12" w:history="1">
        <w:r w:rsidRPr="00651A50">
          <w:rPr>
            <w:rStyle w:val="Hyperlink"/>
            <w:rFonts w:asciiTheme="majorBidi" w:hAnsiTheme="majorBidi" w:cstheme="majorBidi"/>
            <w:sz w:val="20"/>
            <w:szCs w:val="20"/>
            <w:lang w:bidi="fa-IR"/>
          </w:rPr>
          <w:t>iman@shirazu.ac.ir</w:t>
        </w:r>
      </w:hyperlink>
    </w:p>
    <w:p w14:paraId="69711E84" w14:textId="77777777" w:rsidR="00EF2041" w:rsidRPr="008922F7" w:rsidRDefault="00EF2041" w:rsidP="00EF2041">
      <w:pPr>
        <w:bidi/>
        <w:spacing w:line="240" w:lineRule="auto"/>
        <w:jc w:val="center"/>
        <w:rPr>
          <w:rFonts w:ascii="Times New Roman" w:eastAsia="Times New Roman" w:hAnsi="Times New Roman" w:cs="B Nazanin"/>
          <w:sz w:val="20"/>
          <w:szCs w:val="20"/>
        </w:rPr>
      </w:pPr>
    </w:p>
    <w:p w14:paraId="33AC9DE6" w14:textId="23F8B76E" w:rsidR="00EF2041" w:rsidRPr="00E37D04" w:rsidRDefault="00EF2041" w:rsidP="00EF2041">
      <w:pPr>
        <w:spacing w:before="20" w:line="240" w:lineRule="auto"/>
        <w:jc w:val="center"/>
        <w:rPr>
          <w:rFonts w:asciiTheme="majorBidi" w:hAnsiTheme="majorBidi" w:cstheme="majorBidi"/>
          <w:b/>
          <w:bCs/>
          <w:rtl/>
          <w:lang w:bidi="fa-IR"/>
        </w:rPr>
      </w:pPr>
      <w:r w:rsidRPr="00E37D04">
        <w:rPr>
          <w:rFonts w:asciiTheme="majorBidi" w:hAnsiTheme="majorBidi" w:cstheme="majorBidi"/>
          <w:b/>
          <w:bCs/>
          <w:lang w:bidi="fa-IR"/>
        </w:rPr>
        <w:t xml:space="preserve">Mansour </w:t>
      </w:r>
      <w:proofErr w:type="spellStart"/>
      <w:r w:rsidRPr="00E37D04">
        <w:rPr>
          <w:rFonts w:asciiTheme="majorBidi" w:hAnsiTheme="majorBidi" w:cstheme="majorBidi"/>
          <w:b/>
          <w:bCs/>
          <w:lang w:bidi="fa-IR"/>
        </w:rPr>
        <w:t>Tabiee</w:t>
      </w:r>
      <w:proofErr w:type="spellEnd"/>
      <w:r w:rsidRPr="00E37D04">
        <w:rPr>
          <w:rFonts w:asciiTheme="majorBidi" w:hAnsiTheme="majorBidi" w:cstheme="majorBidi"/>
          <w:b/>
          <w:bCs/>
          <w:lang w:bidi="fa-IR"/>
        </w:rPr>
        <w:t>, PhD.</w:t>
      </w:r>
    </w:p>
    <w:p w14:paraId="7118ACC9" w14:textId="65EBB2C8" w:rsidR="006567E1" w:rsidRDefault="006567E1" w:rsidP="00EF2041">
      <w:pPr>
        <w:spacing w:line="240" w:lineRule="auto"/>
        <w:jc w:val="center"/>
        <w:rPr>
          <w:rFonts w:asciiTheme="majorBidi" w:hAnsiTheme="majorBidi" w:cstheme="majorBidi"/>
          <w:sz w:val="20"/>
          <w:szCs w:val="20"/>
          <w:lang w:bidi="fa-IR"/>
        </w:rPr>
      </w:pPr>
      <w:r>
        <w:rPr>
          <w:rFonts w:asciiTheme="majorBidi" w:hAnsiTheme="majorBidi" w:cstheme="majorBidi"/>
          <w:sz w:val="20"/>
          <w:szCs w:val="20"/>
          <w:lang w:bidi="fa-IR"/>
        </w:rPr>
        <w:t>Assistant P</w:t>
      </w:r>
      <w:r w:rsidR="00EF2041" w:rsidRPr="00EF2041">
        <w:rPr>
          <w:rFonts w:asciiTheme="majorBidi" w:hAnsiTheme="majorBidi" w:cstheme="majorBidi"/>
          <w:sz w:val="20"/>
          <w:szCs w:val="20"/>
          <w:lang w:bidi="fa-IR"/>
        </w:rPr>
        <w:t>rofessor of Sociology Department, Shiraz University, Shiraz, Iran</w:t>
      </w:r>
      <w:r>
        <w:rPr>
          <w:rFonts w:asciiTheme="majorBidi" w:hAnsiTheme="majorBidi" w:cstheme="majorBidi"/>
          <w:sz w:val="20"/>
          <w:szCs w:val="20"/>
          <w:lang w:bidi="fa-IR"/>
        </w:rPr>
        <w:t>.</w:t>
      </w:r>
    </w:p>
    <w:p w14:paraId="23251002" w14:textId="71875D71" w:rsidR="00EF2041" w:rsidRDefault="00EF2041" w:rsidP="00EF2041">
      <w:pPr>
        <w:spacing w:line="240" w:lineRule="auto"/>
        <w:jc w:val="center"/>
        <w:rPr>
          <w:rFonts w:asciiTheme="majorBidi" w:hAnsiTheme="majorBidi" w:cstheme="majorBidi"/>
          <w:sz w:val="20"/>
          <w:szCs w:val="20"/>
          <w:rtl/>
          <w:lang w:bidi="fa-IR"/>
        </w:rPr>
      </w:pPr>
      <w:r>
        <w:rPr>
          <w:rFonts w:asciiTheme="majorBidi" w:hAnsiTheme="majorBidi" w:cstheme="majorBidi"/>
          <w:sz w:val="20"/>
          <w:szCs w:val="20"/>
          <w:lang w:bidi="fa-IR"/>
        </w:rPr>
        <w:t xml:space="preserve"> E-mail: </w:t>
      </w:r>
      <w:hyperlink r:id="rId13" w:history="1">
        <w:r w:rsidRPr="00651A50">
          <w:rPr>
            <w:rStyle w:val="Hyperlink"/>
            <w:rFonts w:ascii="Times New Roman" w:hAnsi="Times New Roman" w:cs="Times New Roman"/>
            <w:sz w:val="16"/>
            <w:szCs w:val="16"/>
            <w:lang w:val="en-US"/>
          </w:rPr>
          <w:t xml:space="preserve"> </w:t>
        </w:r>
        <w:r w:rsidRPr="00651A50">
          <w:rPr>
            <w:rStyle w:val="Hyperlink"/>
            <w:rFonts w:asciiTheme="majorBidi" w:hAnsiTheme="majorBidi" w:cstheme="majorBidi"/>
            <w:sz w:val="20"/>
            <w:szCs w:val="20"/>
            <w:lang w:val="en-US" w:bidi="fa-IR"/>
          </w:rPr>
          <w:t>mtabiee</w:t>
        </w:r>
        <w:r w:rsidRPr="00651A50">
          <w:rPr>
            <w:rStyle w:val="Hyperlink"/>
            <w:rFonts w:asciiTheme="majorBidi" w:hAnsiTheme="majorBidi" w:cstheme="majorBidi"/>
            <w:sz w:val="20"/>
            <w:szCs w:val="20"/>
            <w:lang w:bidi="fa-IR"/>
          </w:rPr>
          <w:t>@rose.shirazu.ac.ir</w:t>
        </w:r>
      </w:hyperlink>
    </w:p>
    <w:p w14:paraId="5FE3E662" w14:textId="77777777" w:rsidR="00EF2041" w:rsidRDefault="00EF2041" w:rsidP="00EF2041">
      <w:pPr>
        <w:bidi/>
        <w:spacing w:line="240" w:lineRule="auto"/>
        <w:jc w:val="center"/>
        <w:rPr>
          <w:rFonts w:ascii="Times New Roman" w:eastAsia="Times New Roman" w:hAnsi="Times New Roman" w:cs="B Nazanin"/>
          <w:sz w:val="20"/>
          <w:szCs w:val="20"/>
          <w:rtl/>
        </w:rPr>
      </w:pPr>
    </w:p>
    <w:p w14:paraId="450A14AB" w14:textId="1AA42047" w:rsidR="00EF2041" w:rsidRPr="00E37D04" w:rsidRDefault="006567E1" w:rsidP="00EF2041">
      <w:pPr>
        <w:spacing w:before="20" w:line="240" w:lineRule="auto"/>
        <w:jc w:val="center"/>
        <w:rPr>
          <w:rFonts w:asciiTheme="majorBidi" w:hAnsiTheme="majorBidi" w:cstheme="majorBidi"/>
          <w:b/>
          <w:bCs/>
          <w:rtl/>
          <w:lang w:bidi="fa-IR"/>
        </w:rPr>
      </w:pPr>
      <w:r w:rsidRPr="00E37D04">
        <w:rPr>
          <w:rFonts w:asciiTheme="majorBidi" w:hAnsiTheme="majorBidi" w:cstheme="majorBidi"/>
          <w:b/>
          <w:bCs/>
          <w:lang w:bidi="fa-IR"/>
        </w:rPr>
        <w:t xml:space="preserve">Ali </w:t>
      </w:r>
      <w:proofErr w:type="spellStart"/>
      <w:r w:rsidRPr="00E37D04">
        <w:rPr>
          <w:rFonts w:asciiTheme="majorBidi" w:hAnsiTheme="majorBidi" w:cstheme="majorBidi"/>
          <w:b/>
          <w:bCs/>
          <w:lang w:bidi="fa-IR"/>
        </w:rPr>
        <w:t>Bandarrigizadeh</w:t>
      </w:r>
      <w:proofErr w:type="spellEnd"/>
      <w:r w:rsidRPr="00E37D04">
        <w:rPr>
          <w:rFonts w:asciiTheme="majorBidi" w:hAnsiTheme="majorBidi" w:cstheme="majorBidi"/>
          <w:b/>
          <w:bCs/>
          <w:lang w:bidi="fa-IR"/>
        </w:rPr>
        <w:t>, PhD.</w:t>
      </w:r>
    </w:p>
    <w:p w14:paraId="4F81DFE1" w14:textId="75BDCAAB" w:rsidR="006567E1" w:rsidRDefault="006567E1" w:rsidP="006567E1">
      <w:pPr>
        <w:spacing w:line="240" w:lineRule="auto"/>
        <w:jc w:val="center"/>
        <w:rPr>
          <w:rFonts w:asciiTheme="majorBidi" w:hAnsiTheme="majorBidi" w:cstheme="majorBidi"/>
          <w:sz w:val="20"/>
          <w:szCs w:val="20"/>
          <w:lang w:bidi="fa-IR"/>
        </w:rPr>
      </w:pPr>
      <w:r w:rsidRPr="00EF2041">
        <w:rPr>
          <w:rFonts w:asciiTheme="majorBidi" w:hAnsiTheme="majorBidi" w:cstheme="majorBidi"/>
          <w:sz w:val="20"/>
          <w:szCs w:val="20"/>
          <w:lang w:bidi="fa-IR"/>
        </w:rPr>
        <w:t>P</w:t>
      </w:r>
      <w:r>
        <w:rPr>
          <w:rFonts w:asciiTheme="majorBidi" w:hAnsiTheme="majorBidi" w:cstheme="majorBidi"/>
          <w:sz w:val="20"/>
          <w:szCs w:val="20"/>
          <w:lang w:bidi="fa-IR"/>
        </w:rPr>
        <w:t xml:space="preserve">ostdoctoral Researcher, </w:t>
      </w:r>
      <w:r w:rsidRPr="00EF2041">
        <w:rPr>
          <w:rFonts w:asciiTheme="majorBidi" w:hAnsiTheme="majorBidi" w:cstheme="majorBidi"/>
          <w:sz w:val="20"/>
          <w:szCs w:val="20"/>
          <w:lang w:bidi="fa-IR"/>
        </w:rPr>
        <w:t>Sociology Department, Shiraz University, Shiraz, Iran</w:t>
      </w:r>
      <w:r>
        <w:rPr>
          <w:rFonts w:asciiTheme="majorBidi" w:hAnsiTheme="majorBidi" w:cstheme="majorBidi"/>
          <w:sz w:val="20"/>
          <w:szCs w:val="20"/>
          <w:lang w:bidi="fa-IR"/>
        </w:rPr>
        <w:t>.</w:t>
      </w:r>
    </w:p>
    <w:p w14:paraId="403113A4" w14:textId="3065E152" w:rsidR="00EF2041" w:rsidRDefault="00EF2041" w:rsidP="00EF2041">
      <w:pPr>
        <w:spacing w:line="240" w:lineRule="auto"/>
        <w:jc w:val="center"/>
        <w:rPr>
          <w:rFonts w:asciiTheme="majorBidi" w:hAnsiTheme="majorBidi" w:cstheme="majorBidi"/>
          <w:sz w:val="20"/>
          <w:szCs w:val="20"/>
          <w:rtl/>
          <w:lang w:bidi="fa-IR"/>
        </w:rPr>
      </w:pPr>
      <w:r>
        <w:rPr>
          <w:rFonts w:asciiTheme="majorBidi" w:hAnsiTheme="majorBidi" w:cstheme="majorBidi"/>
          <w:sz w:val="20"/>
          <w:szCs w:val="20"/>
          <w:lang w:bidi="fa-IR"/>
        </w:rPr>
        <w:t xml:space="preserve">E-mail: </w:t>
      </w:r>
      <w:hyperlink r:id="rId14" w:history="1">
        <w:r w:rsidRPr="00651A50">
          <w:rPr>
            <w:rStyle w:val="Hyperlink"/>
            <w:rFonts w:asciiTheme="majorBidi" w:hAnsiTheme="majorBidi" w:cstheme="majorBidi"/>
            <w:sz w:val="20"/>
            <w:szCs w:val="20"/>
            <w:lang w:bidi="fa-IR"/>
          </w:rPr>
          <w:t>ali.bandarrigizadeh@gmail.com</w:t>
        </w:r>
      </w:hyperlink>
    </w:p>
    <w:p w14:paraId="4C395B92" w14:textId="4205FDA1" w:rsidR="00D5625B" w:rsidRDefault="00D5625B">
      <w:pPr>
        <w:spacing w:after="200"/>
        <w:jc w:val="center"/>
        <w:rPr>
          <w:rFonts w:ascii="Calibri" w:eastAsia="Calibri" w:hAnsi="Calibri" w:cs="Calibri"/>
        </w:rPr>
      </w:pPr>
    </w:p>
    <w:p w14:paraId="366B79B8" w14:textId="77777777" w:rsidR="00D5625B" w:rsidRPr="008922F7" w:rsidRDefault="00FA2181" w:rsidP="006567E1">
      <w:pPr>
        <w:pStyle w:val="Heading2"/>
        <w:keepLines w:val="0"/>
        <w:widowControl w:val="0"/>
        <w:spacing w:before="120" w:after="60" w:line="240" w:lineRule="auto"/>
        <w:ind w:left="540" w:right="567"/>
        <w:rPr>
          <w:rFonts w:asciiTheme="majorBidi" w:hAnsiTheme="majorBidi" w:cstheme="majorBidi"/>
        </w:rPr>
      </w:pPr>
      <w:r w:rsidRPr="008922F7">
        <w:rPr>
          <w:rFonts w:asciiTheme="majorBidi" w:eastAsia="Times New Roman" w:hAnsiTheme="majorBidi" w:cstheme="majorBidi"/>
          <w:b/>
          <w:sz w:val="20"/>
          <w:szCs w:val="20"/>
        </w:rPr>
        <w:t>Abstract</w:t>
      </w:r>
    </w:p>
    <w:p w14:paraId="0C6182D5" w14:textId="08C3820A" w:rsidR="006567E1" w:rsidRDefault="006567E1" w:rsidP="006567E1">
      <w:pPr>
        <w:spacing w:line="360" w:lineRule="auto"/>
        <w:ind w:left="540"/>
        <w:jc w:val="both"/>
        <w:rPr>
          <w:rFonts w:asciiTheme="majorBidi" w:hAnsiTheme="majorBidi" w:cs="B Lotus"/>
          <w:lang w:bidi="fa-IR"/>
        </w:rPr>
      </w:pPr>
      <w:r w:rsidRPr="006567E1">
        <w:rPr>
          <w:rFonts w:asciiTheme="majorBidi" w:hAnsiTheme="majorBidi" w:cs="B Lotus"/>
          <w:lang w:bidi="fa-IR"/>
        </w:rPr>
        <w:t>The fundamental elements that distinguish deconstructive social science from other types of social sciences enable it to place the construct of “Iranian identity”</w:t>
      </w:r>
      <w:r w:rsidRPr="006567E1">
        <w:t xml:space="preserve"> </w:t>
      </w:r>
      <w:r w:rsidRPr="006567E1">
        <w:rPr>
          <w:rFonts w:asciiTheme="majorBidi" w:hAnsiTheme="majorBidi" w:cs="B Lotus"/>
          <w:lang w:bidi="fa-IR"/>
        </w:rPr>
        <w:t xml:space="preserve">concept in the context of scientific disclosures. In other words, the elements that have become intertwined with the body of deconstructive social science and, consequently, have made the existence and nature of this type of science dependent upon themselves are the very elements that are debated as the component organs of the body which creates capacities for analyzing the construct of the above-mentioned concept. In this way, the elements or organs that illustrate the social world as a world that is created and re-created and emphasize the active role of humans in this creation and re-creation are the very elements and organs which make it possible to contemplate the construction of the concept of Iranian identity in a certain and profound relationship with what is called “regularity in dispersion”. </w:t>
      </w:r>
    </w:p>
    <w:p w14:paraId="4F6073DA" w14:textId="77777777" w:rsidR="007A4E34" w:rsidRDefault="007A4E34" w:rsidP="006567E1">
      <w:pPr>
        <w:spacing w:line="360" w:lineRule="auto"/>
        <w:ind w:left="540"/>
        <w:jc w:val="both"/>
        <w:rPr>
          <w:rFonts w:asciiTheme="majorBidi" w:hAnsiTheme="majorBidi" w:cs="B Lotus"/>
          <w:lang w:bidi="fa-IR"/>
        </w:rPr>
      </w:pPr>
    </w:p>
    <w:p w14:paraId="53F3416D" w14:textId="42495134" w:rsidR="00D5625B" w:rsidRDefault="006567E1" w:rsidP="007A4E34">
      <w:pPr>
        <w:spacing w:line="360" w:lineRule="auto"/>
        <w:ind w:left="540"/>
        <w:jc w:val="both"/>
        <w:rPr>
          <w:rFonts w:ascii="Calibri" w:eastAsia="Calibri" w:hAnsi="Calibri" w:cs="Calibri"/>
          <w:sz w:val="28"/>
          <w:szCs w:val="28"/>
        </w:rPr>
      </w:pPr>
      <w:r w:rsidRPr="006E0397">
        <w:rPr>
          <w:rFonts w:asciiTheme="majorBidi" w:hAnsiTheme="majorBidi" w:cs="B Lotus"/>
          <w:b/>
          <w:bCs/>
          <w:sz w:val="20"/>
          <w:szCs w:val="20"/>
          <w:lang w:bidi="fa-IR"/>
        </w:rPr>
        <w:t xml:space="preserve">Keywords: </w:t>
      </w:r>
      <w:r w:rsidR="006E0397" w:rsidRPr="006E0397">
        <w:rPr>
          <w:rFonts w:asciiTheme="majorBidi" w:hAnsiTheme="majorBidi" w:cs="B Lotus"/>
          <w:sz w:val="20"/>
          <w:szCs w:val="20"/>
          <w:lang w:bidi="fa-IR"/>
        </w:rPr>
        <w:t>Identity, Deconstruction, Construction, Derrida.</w:t>
      </w:r>
    </w:p>
    <w:sectPr w:rsidR="00D5625B" w:rsidSect="00FA2181">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EA09F" w14:textId="77777777" w:rsidR="00D831A7" w:rsidRDefault="00D831A7">
      <w:pPr>
        <w:spacing w:line="240" w:lineRule="auto"/>
      </w:pPr>
      <w:r>
        <w:separator/>
      </w:r>
    </w:p>
  </w:endnote>
  <w:endnote w:type="continuationSeparator" w:id="0">
    <w:p w14:paraId="4EBFDC16" w14:textId="77777777" w:rsidR="00D831A7" w:rsidRDefault="00D831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4FAAC" w14:textId="77777777" w:rsidR="006A0A6D" w:rsidRDefault="006A0A6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21374" w14:textId="77777777" w:rsidR="006A0A6D" w:rsidRDefault="006A0A6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AB320" w14:textId="77777777" w:rsidR="006A0A6D" w:rsidRDefault="006A0A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E47DA" w14:textId="77777777" w:rsidR="00D831A7" w:rsidRDefault="00D831A7">
      <w:pPr>
        <w:spacing w:line="240" w:lineRule="auto"/>
      </w:pPr>
      <w:r>
        <w:separator/>
      </w:r>
    </w:p>
  </w:footnote>
  <w:footnote w:type="continuationSeparator" w:id="0">
    <w:p w14:paraId="69289A2E" w14:textId="77777777" w:rsidR="00D831A7" w:rsidRDefault="00D831A7">
      <w:pPr>
        <w:spacing w:line="240" w:lineRule="auto"/>
      </w:pPr>
      <w:r>
        <w:continuationSeparator/>
      </w:r>
    </w:p>
  </w:footnote>
  <w:footnote w:id="1">
    <w:p w14:paraId="7BCDC689" w14:textId="77777777" w:rsidR="000C4019" w:rsidRDefault="000C4019" w:rsidP="000C4019">
      <w:pPr>
        <w:pStyle w:val="FootnoteText1"/>
        <w:rPr>
          <w:lang w:bidi="fa-IR"/>
        </w:rPr>
      </w:pPr>
      <w:r w:rsidRPr="000C4019">
        <w:rPr>
          <w:rStyle w:val="FootnoteReference"/>
          <w:rFonts w:ascii="Times New Roman" w:hAnsi="Times New Roman" w:cs="Times New Roman"/>
        </w:rPr>
        <w:footnoteRef/>
      </w:r>
      <w:r w:rsidRPr="000C4019">
        <w:rPr>
          <w:rFonts w:ascii="Times New Roman" w:hAnsi="Times New Roman" w:cs="Times New Roman"/>
        </w:rPr>
        <w:t>. Erik Erikson</w:t>
      </w:r>
      <w:r>
        <w:t xml:space="preserve">  </w:t>
      </w:r>
    </w:p>
  </w:footnote>
  <w:footnote w:id="2">
    <w:p w14:paraId="54B3EF45" w14:textId="567F0D04" w:rsidR="007A4E34" w:rsidRPr="007A4E34" w:rsidRDefault="007A4E34" w:rsidP="007A4E34">
      <w:pPr>
        <w:pStyle w:val="FootnoteText"/>
        <w:rPr>
          <w:rFonts w:asciiTheme="majorBidi" w:hAnsiTheme="majorBidi" w:cstheme="majorBidi"/>
          <w:lang w:val="en-US" w:bidi="fa-IR"/>
        </w:rPr>
      </w:pPr>
      <w:r w:rsidRPr="007A4E34">
        <w:rPr>
          <w:rStyle w:val="FootnoteReference"/>
          <w:rFonts w:asciiTheme="majorBidi" w:hAnsiTheme="majorBidi" w:cstheme="majorBidi"/>
        </w:rPr>
        <w:footnoteRef/>
      </w:r>
      <w:r w:rsidRPr="007A4E34">
        <w:rPr>
          <w:rFonts w:asciiTheme="majorBidi" w:hAnsiTheme="majorBidi" w:cstheme="majorBidi"/>
        </w:rPr>
        <w:t>. Jacques Derrida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901C3" w14:textId="0955628F" w:rsidR="006A0A6D" w:rsidRDefault="00D831A7">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A70B1" w14:textId="042606C1" w:rsidR="00D5625B" w:rsidRDefault="00D831A7">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3641A" w14:textId="2D1ACFCB" w:rsidR="00D5625B" w:rsidRDefault="00D831A7">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60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60"/>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C4019"/>
    <w:rsid w:val="00346A2D"/>
    <w:rsid w:val="003D5403"/>
    <w:rsid w:val="006567E1"/>
    <w:rsid w:val="006A0A6D"/>
    <w:rsid w:val="006E0397"/>
    <w:rsid w:val="007A4E34"/>
    <w:rsid w:val="007D66D8"/>
    <w:rsid w:val="0085701F"/>
    <w:rsid w:val="008922F7"/>
    <w:rsid w:val="009625D6"/>
    <w:rsid w:val="009E2251"/>
    <w:rsid w:val="00CB7C6D"/>
    <w:rsid w:val="00D456AF"/>
    <w:rsid w:val="00D5625B"/>
    <w:rsid w:val="00D831A7"/>
    <w:rsid w:val="00E37D04"/>
    <w:rsid w:val="00E93833"/>
    <w:rsid w:val="00EE5E64"/>
    <w:rsid w:val="00EF2041"/>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041"/>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styleId="Hyperlink">
    <w:name w:val="Hyperlink"/>
    <w:basedOn w:val="DefaultParagraphFont"/>
    <w:uiPriority w:val="99"/>
    <w:unhideWhenUsed/>
    <w:rsid w:val="00D456AF"/>
    <w:rPr>
      <w:color w:val="0000FF" w:themeColor="hyperlink"/>
      <w:u w:val="single"/>
    </w:rPr>
  </w:style>
  <w:style w:type="paragraph" w:customStyle="1" w:styleId="FootnoteText1">
    <w:name w:val="Footnote Text1"/>
    <w:basedOn w:val="Normal"/>
    <w:next w:val="FootnoteText"/>
    <w:link w:val="FootnoteTextChar"/>
    <w:uiPriority w:val="99"/>
    <w:semiHidden/>
    <w:unhideWhenUsed/>
    <w:rsid w:val="000C4019"/>
    <w:pPr>
      <w:spacing w:line="240" w:lineRule="auto"/>
    </w:pPr>
    <w:rPr>
      <w:sz w:val="20"/>
      <w:szCs w:val="20"/>
    </w:rPr>
  </w:style>
  <w:style w:type="character" w:customStyle="1" w:styleId="FootnoteTextChar">
    <w:name w:val="Footnote Text Char"/>
    <w:basedOn w:val="DefaultParagraphFont"/>
    <w:link w:val="FootnoteText1"/>
    <w:uiPriority w:val="99"/>
    <w:semiHidden/>
    <w:rsid w:val="000C4019"/>
    <w:rPr>
      <w:sz w:val="20"/>
      <w:szCs w:val="20"/>
    </w:rPr>
  </w:style>
  <w:style w:type="character" w:styleId="FootnoteReference">
    <w:name w:val="footnote reference"/>
    <w:basedOn w:val="DefaultParagraphFont"/>
    <w:uiPriority w:val="99"/>
    <w:semiHidden/>
    <w:unhideWhenUsed/>
    <w:rsid w:val="000C4019"/>
    <w:rPr>
      <w:vertAlign w:val="superscript"/>
    </w:rPr>
  </w:style>
  <w:style w:type="paragraph" w:styleId="FootnoteText">
    <w:name w:val="footnote text"/>
    <w:basedOn w:val="Normal"/>
    <w:link w:val="FootnoteTextChar1"/>
    <w:uiPriority w:val="99"/>
    <w:semiHidden/>
    <w:unhideWhenUsed/>
    <w:rsid w:val="000C4019"/>
    <w:pPr>
      <w:spacing w:line="240" w:lineRule="auto"/>
    </w:pPr>
    <w:rPr>
      <w:sz w:val="20"/>
      <w:szCs w:val="20"/>
    </w:rPr>
  </w:style>
  <w:style w:type="character" w:customStyle="1" w:styleId="FootnoteTextChar1">
    <w:name w:val="Footnote Text Char1"/>
    <w:basedOn w:val="DefaultParagraphFont"/>
    <w:link w:val="FootnoteText"/>
    <w:uiPriority w:val="99"/>
    <w:semiHidden/>
    <w:rsid w:val="000C4019"/>
    <w:rPr>
      <w:sz w:val="20"/>
      <w:szCs w:val="20"/>
    </w:rPr>
  </w:style>
  <w:style w:type="paragraph" w:styleId="NormalWeb">
    <w:name w:val="Normal (Web)"/>
    <w:basedOn w:val="Normal"/>
    <w:uiPriority w:val="99"/>
    <w:unhideWhenUsed/>
    <w:rsid w:val="000C401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man@shirazu.ac.ir" TargetMode="External"/><Relationship Id="rId13" Type="http://schemas.openxmlformats.org/officeDocument/2006/relationships/hyperlink" Target="mailto:%20mtabiee@rose.shirazu.ac.i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man@shirazu.ac.i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li.bandarrigizadeh@gmai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20mtabiee@rose.shirazu.ac.ir" TargetMode="External"/><Relationship Id="rId14" Type="http://schemas.openxmlformats.org/officeDocument/2006/relationships/hyperlink" Target="mailto:ali.bandarrigizadeh@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A8DD0-E5E4-4481-94A2-2949E1C79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2155</Words>
  <Characters>12285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11</cp:revision>
  <dcterms:created xsi:type="dcterms:W3CDTF">2023-01-11T08:39:00Z</dcterms:created>
  <dcterms:modified xsi:type="dcterms:W3CDTF">2023-05-08T15:00:00Z</dcterms:modified>
</cp:coreProperties>
</file>