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724" w:rsidRPr="00042724" w:rsidRDefault="00042724" w:rsidP="00042724">
      <w:pPr>
        <w:jc w:val="center"/>
        <w:rPr>
          <w:rFonts w:cs="B Nazanin"/>
          <w:b/>
          <w:bCs/>
          <w:sz w:val="32"/>
          <w:szCs w:val="32"/>
          <w:rtl/>
        </w:rPr>
      </w:pPr>
      <w:r w:rsidRPr="00042724">
        <w:rPr>
          <w:rFonts w:cs="B Nazanin" w:hint="cs"/>
          <w:b/>
          <w:bCs/>
          <w:sz w:val="32"/>
          <w:szCs w:val="32"/>
          <w:rtl/>
        </w:rPr>
        <w:t>اثربخشی آموزش گروهی کنترل خشم بر پرخاشگری</w:t>
      </w:r>
    </w:p>
    <w:p w:rsidR="00042724" w:rsidRPr="00042724" w:rsidRDefault="00042724" w:rsidP="00042724">
      <w:pPr>
        <w:jc w:val="center"/>
        <w:rPr>
          <w:rFonts w:cs="B Nazanin"/>
          <w:b/>
          <w:bCs/>
          <w:sz w:val="32"/>
          <w:szCs w:val="32"/>
          <w:rtl/>
        </w:rPr>
      </w:pPr>
      <w:r w:rsidRPr="00042724">
        <w:rPr>
          <w:rFonts w:cs="B Nazanin" w:hint="cs"/>
          <w:b/>
          <w:bCs/>
          <w:sz w:val="32"/>
          <w:szCs w:val="32"/>
          <w:rtl/>
        </w:rPr>
        <w:t>دانش آموزان دختر ورزشکار شهرستان اقلید</w:t>
      </w:r>
    </w:p>
    <w:p w:rsidR="00042724" w:rsidRPr="00042724" w:rsidRDefault="00042724" w:rsidP="00042724">
      <w:pPr>
        <w:jc w:val="both"/>
        <w:rPr>
          <w:rFonts w:cs="B Nazanin"/>
          <w:b/>
          <w:bCs/>
          <w:sz w:val="32"/>
          <w:szCs w:val="32"/>
          <w:rtl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44"/>
      </w:tblGrid>
      <w:tr w:rsidR="00042724" w:rsidRPr="004A68BB" w:rsidTr="00C37581">
        <w:trPr>
          <w:trHeight w:val="530"/>
        </w:trPr>
        <w:tc>
          <w:tcPr>
            <w:tcW w:w="1444" w:type="dxa"/>
          </w:tcPr>
          <w:p w:rsidR="00042724" w:rsidRPr="004A68BB" w:rsidRDefault="00042724" w:rsidP="00042724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 w:rsidRPr="004A68BB">
              <w:rPr>
                <w:rFonts w:cs="B Nazanin" w:hint="cs"/>
                <w:sz w:val="28"/>
                <w:szCs w:val="28"/>
                <w:rtl/>
              </w:rPr>
              <w:t>چکیده:</w:t>
            </w:r>
          </w:p>
        </w:tc>
      </w:tr>
    </w:tbl>
    <w:p w:rsidR="00042724" w:rsidRPr="005C47A6" w:rsidRDefault="00042724" w:rsidP="005C47A6">
      <w:pPr>
        <w:jc w:val="both"/>
        <w:rPr>
          <w:rFonts w:ascii="IranNastaliq" w:hAnsi="IranNastaliq" w:cs="B Lotus"/>
          <w:sz w:val="24"/>
          <w:szCs w:val="24"/>
          <w:rtl/>
        </w:rPr>
      </w:pPr>
      <w:r w:rsidRPr="005C47A6">
        <w:rPr>
          <w:rFonts w:cs="B Nazanin" w:hint="cs"/>
          <w:sz w:val="24"/>
          <w:szCs w:val="24"/>
          <w:rtl/>
        </w:rPr>
        <w:t>پرخاشگری یک مسئله اجتماعی و یکی از موضوعات اساسی بهداشت روانی به حساب می آید.</w:t>
      </w:r>
      <w:r w:rsidR="005C47A6" w:rsidRPr="005C47A6">
        <w:rPr>
          <w:rFonts w:ascii="IranNastaliq" w:hAnsi="IranNastaliq" w:cs="B Nazanin"/>
          <w:sz w:val="24"/>
          <w:szCs w:val="24"/>
          <w:rtl/>
        </w:rPr>
        <w:t xml:space="preserve"> پرخاشگری یکی از</w:t>
      </w:r>
      <w:r w:rsidR="005C47A6">
        <w:rPr>
          <w:rFonts w:ascii="IranNastaliq" w:hAnsi="IranNastaliq" w:cs="B Nazanin" w:hint="cs"/>
          <w:sz w:val="24"/>
          <w:szCs w:val="24"/>
          <w:rtl/>
        </w:rPr>
        <w:t xml:space="preserve"> </w:t>
      </w:r>
      <w:r w:rsidR="005C47A6" w:rsidRPr="005C47A6">
        <w:rPr>
          <w:rFonts w:ascii="IranNastaliq" w:hAnsi="IranNastaliq" w:cs="B Nazanin"/>
          <w:sz w:val="24"/>
          <w:szCs w:val="24"/>
          <w:rtl/>
        </w:rPr>
        <w:t>مشکلات مهم دوره نوجوانی است که می تواند به صورت ناسزا</w:t>
      </w:r>
      <w:r w:rsidR="005C47A6">
        <w:rPr>
          <w:rFonts w:ascii="IranNastaliq" w:hAnsi="IranNastaliq" w:cs="B Nazanin" w:hint="cs"/>
          <w:sz w:val="24"/>
          <w:szCs w:val="24"/>
          <w:rtl/>
        </w:rPr>
        <w:t xml:space="preserve"> </w:t>
      </w:r>
      <w:r w:rsidR="005C47A6" w:rsidRPr="005C47A6">
        <w:rPr>
          <w:rFonts w:ascii="IranNastaliq" w:hAnsi="IranNastaliq" w:cs="B Nazanin"/>
          <w:sz w:val="24"/>
          <w:szCs w:val="24"/>
          <w:rtl/>
        </w:rPr>
        <w:t>گویی،</w:t>
      </w:r>
      <w:r w:rsidR="005C47A6">
        <w:rPr>
          <w:rFonts w:ascii="IranNastaliq" w:hAnsi="IranNastaliq" w:cs="B Nazanin" w:hint="cs"/>
          <w:sz w:val="24"/>
          <w:szCs w:val="24"/>
          <w:rtl/>
        </w:rPr>
        <w:t xml:space="preserve"> </w:t>
      </w:r>
      <w:r w:rsidR="005C47A6" w:rsidRPr="005C47A6">
        <w:rPr>
          <w:rFonts w:ascii="IranNastaliq" w:hAnsi="IranNastaliq" w:cs="B Nazanin"/>
          <w:sz w:val="24"/>
          <w:szCs w:val="24"/>
          <w:rtl/>
        </w:rPr>
        <w:t>تهدید</w:t>
      </w:r>
      <w:r w:rsidR="005C47A6">
        <w:rPr>
          <w:rFonts w:ascii="IranNastaliq" w:hAnsi="IranNastaliq" w:cs="B Nazanin" w:hint="cs"/>
          <w:sz w:val="24"/>
          <w:szCs w:val="24"/>
          <w:rtl/>
        </w:rPr>
        <w:t xml:space="preserve"> </w:t>
      </w:r>
      <w:r w:rsidR="005C47A6" w:rsidRPr="005C47A6">
        <w:rPr>
          <w:rFonts w:ascii="IranNastaliq" w:hAnsi="IranNastaliq" w:cs="B Nazanin"/>
          <w:sz w:val="24"/>
          <w:szCs w:val="24"/>
          <w:rtl/>
        </w:rPr>
        <w:t>کلامی و</w:t>
      </w:r>
      <w:r w:rsidR="005C47A6">
        <w:rPr>
          <w:rFonts w:ascii="IranNastaliq" w:hAnsi="IranNastaliq" w:cs="B Nazanin" w:hint="cs"/>
          <w:sz w:val="24"/>
          <w:szCs w:val="24"/>
          <w:rtl/>
        </w:rPr>
        <w:t xml:space="preserve"> </w:t>
      </w:r>
      <w:r w:rsidR="005C47A6" w:rsidRPr="005C47A6">
        <w:rPr>
          <w:rFonts w:ascii="IranNastaliq" w:hAnsi="IranNastaliq" w:cs="B Nazanin"/>
          <w:sz w:val="24"/>
          <w:szCs w:val="24"/>
          <w:rtl/>
        </w:rPr>
        <w:t>داد</w:t>
      </w:r>
      <w:r w:rsidR="005C47A6">
        <w:rPr>
          <w:rFonts w:ascii="IranNastaliq" w:hAnsi="IranNastaliq" w:cs="B Nazanin" w:hint="cs"/>
          <w:sz w:val="24"/>
          <w:szCs w:val="24"/>
          <w:rtl/>
        </w:rPr>
        <w:t xml:space="preserve"> </w:t>
      </w:r>
      <w:r w:rsidR="005C47A6" w:rsidRPr="005C47A6">
        <w:rPr>
          <w:rFonts w:ascii="IranNastaliq" w:hAnsi="IranNastaliq" w:cs="B Nazanin"/>
          <w:sz w:val="24"/>
          <w:szCs w:val="24"/>
          <w:rtl/>
        </w:rPr>
        <w:t>و</w:t>
      </w:r>
      <w:r w:rsidR="005C47A6">
        <w:rPr>
          <w:rFonts w:ascii="IranNastaliq" w:hAnsi="IranNastaliq" w:cs="B Nazanin" w:hint="cs"/>
          <w:sz w:val="24"/>
          <w:szCs w:val="24"/>
          <w:rtl/>
        </w:rPr>
        <w:t xml:space="preserve"> </w:t>
      </w:r>
      <w:r w:rsidR="005C47A6" w:rsidRPr="005C47A6">
        <w:rPr>
          <w:rFonts w:ascii="IranNastaliq" w:hAnsi="IranNastaliq" w:cs="B Nazanin"/>
          <w:sz w:val="24"/>
          <w:szCs w:val="24"/>
          <w:rtl/>
        </w:rPr>
        <w:t>فریاد،</w:t>
      </w:r>
      <w:r w:rsidR="005C47A6">
        <w:rPr>
          <w:rFonts w:ascii="IranNastaliq" w:hAnsi="IranNastaliq" w:cs="B Nazanin" w:hint="cs"/>
          <w:sz w:val="24"/>
          <w:szCs w:val="24"/>
          <w:rtl/>
        </w:rPr>
        <w:t xml:space="preserve"> </w:t>
      </w:r>
      <w:r w:rsidR="005C47A6" w:rsidRPr="005C47A6">
        <w:rPr>
          <w:rFonts w:ascii="IranNastaliq" w:hAnsi="IranNastaliq" w:cs="B Nazanin"/>
          <w:sz w:val="24"/>
          <w:szCs w:val="24"/>
          <w:rtl/>
        </w:rPr>
        <w:t>رقابت بین فردی و</w:t>
      </w:r>
      <w:r w:rsidR="005C47A6">
        <w:rPr>
          <w:rFonts w:ascii="IranNastaliq" w:hAnsi="IranNastaliq" w:cs="B Nazanin" w:hint="cs"/>
          <w:sz w:val="24"/>
          <w:szCs w:val="24"/>
          <w:rtl/>
        </w:rPr>
        <w:t xml:space="preserve"> </w:t>
      </w:r>
      <w:r w:rsidR="005C47A6" w:rsidRPr="005C47A6">
        <w:rPr>
          <w:rFonts w:ascii="IranNastaliq" w:hAnsi="IranNastaliq" w:cs="B Nazanin"/>
          <w:sz w:val="24"/>
          <w:szCs w:val="24"/>
          <w:rtl/>
        </w:rPr>
        <w:t>طرد</w:t>
      </w:r>
      <w:r w:rsidR="005C47A6">
        <w:rPr>
          <w:rFonts w:ascii="IranNastaliq" w:hAnsi="IranNastaliq" w:cs="B Nazanin" w:hint="cs"/>
          <w:sz w:val="24"/>
          <w:szCs w:val="24"/>
          <w:rtl/>
        </w:rPr>
        <w:t xml:space="preserve"> </w:t>
      </w:r>
      <w:r w:rsidR="005C47A6" w:rsidRPr="005C47A6">
        <w:rPr>
          <w:rFonts w:ascii="IranNastaliq" w:hAnsi="IranNastaliq" w:cs="B Nazanin"/>
          <w:sz w:val="24"/>
          <w:szCs w:val="24"/>
          <w:rtl/>
        </w:rPr>
        <w:t>و</w:t>
      </w:r>
      <w:r w:rsidR="005C47A6">
        <w:rPr>
          <w:rFonts w:ascii="IranNastaliq" w:hAnsi="IranNastaliq" w:cs="B Nazanin" w:hint="cs"/>
          <w:sz w:val="24"/>
          <w:szCs w:val="24"/>
          <w:rtl/>
        </w:rPr>
        <w:t xml:space="preserve"> </w:t>
      </w:r>
      <w:r w:rsidR="005C47A6" w:rsidRPr="005C47A6">
        <w:rPr>
          <w:rFonts w:ascii="IranNastaliq" w:hAnsi="IranNastaliq" w:cs="B Nazanin"/>
          <w:sz w:val="24"/>
          <w:szCs w:val="24"/>
          <w:rtl/>
        </w:rPr>
        <w:t>منزوی کردن دیگران نشان داده شود.</w:t>
      </w:r>
      <w:r w:rsidRPr="005C47A6">
        <w:rPr>
          <w:rFonts w:cs="B Nazanin" w:hint="cs"/>
          <w:sz w:val="24"/>
          <w:szCs w:val="24"/>
          <w:rtl/>
        </w:rPr>
        <w:t xml:space="preserve"> پژوهش حاضر با هدف بررسی</w:t>
      </w:r>
      <w:r w:rsidRPr="00042724">
        <w:rPr>
          <w:rFonts w:cs="B Nazanin" w:hint="cs"/>
          <w:sz w:val="24"/>
          <w:szCs w:val="24"/>
          <w:rtl/>
        </w:rPr>
        <w:t xml:space="preserve"> اثر</w:t>
      </w:r>
      <w:r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بخشی آموزش گروهی کنترل خشم بر پرخاشگری دانش آموزان دختر ورزشکار شهرستان اقلید صورت گرفت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 xml:space="preserve">.این پژوهش از نوع نیمه آزمایشی </w:t>
      </w:r>
      <w:r w:rsidR="00FD7467">
        <w:rPr>
          <w:rFonts w:cs="B Nazanin" w:hint="cs"/>
          <w:sz w:val="24"/>
          <w:szCs w:val="24"/>
          <w:rtl/>
        </w:rPr>
        <w:t xml:space="preserve">و </w:t>
      </w:r>
      <w:r w:rsidRPr="00042724">
        <w:rPr>
          <w:rFonts w:cs="B Nazanin" w:hint="cs"/>
          <w:sz w:val="24"/>
          <w:szCs w:val="24"/>
          <w:rtl/>
        </w:rPr>
        <w:t>با طرح پیش آزمون- پس آزمون با گروه کنترل اجرا شد.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جامعه آماری این پژوهش شامل کلیه ی دانش آموزان دختر ورزشکار مقطع متوسطه شهرستان اقلید بود که با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روش نمونه گیری تصادفی خوشه ای تعداد150نفر انتخاب و سپس پرسشنامه پرخاشگری باس-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پری اجرا گردید و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از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بین دانش آموزان</w:t>
      </w:r>
      <w:r w:rsidR="00FD7467">
        <w:rPr>
          <w:rFonts w:cs="B Nazanin" w:hint="cs"/>
          <w:sz w:val="24"/>
          <w:szCs w:val="24"/>
          <w:rtl/>
        </w:rPr>
        <w:t>ی</w:t>
      </w:r>
      <w:r w:rsidRPr="00042724">
        <w:rPr>
          <w:rFonts w:cs="B Nazanin" w:hint="cs"/>
          <w:sz w:val="24"/>
          <w:szCs w:val="24"/>
          <w:rtl/>
        </w:rPr>
        <w:t xml:space="preserve"> که نمره پرخاشگری آنها بالاتر از میانگین بود تعداد30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نفر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به روش تصادفی ساده انتخاب و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در دو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گروه 15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نفری آزمایش و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کنترل جایگزین شدند. ابزار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گردآوری داده ها پرسشنامه باس و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پری بود.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گروه آزمایش به مدت 10 جلسه 60 دقیقه ای و به صورت هفتگی تحت آموزش قرار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گرفتند. برای تحلیل داده ها از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 xml:space="preserve">آزمون آماری تحلیل </w:t>
      </w:r>
      <w:r w:rsidR="00FD7467">
        <w:rPr>
          <w:rFonts w:cs="B Nazanin" w:hint="cs"/>
          <w:sz w:val="24"/>
          <w:szCs w:val="24"/>
          <w:rtl/>
        </w:rPr>
        <w:t xml:space="preserve">کوواریانس </w:t>
      </w:r>
      <w:r w:rsidR="00FD7467">
        <w:rPr>
          <w:rFonts w:ascii="Tahoma" w:hAnsi="Tahoma" w:cs="Tahoma"/>
          <w:color w:val="000000" w:themeColor="text1"/>
          <w:sz w:val="20"/>
          <w:szCs w:val="20"/>
        </w:rPr>
        <w:t>ANCOVA</w:t>
      </w:r>
      <w:r w:rsidR="00FD7467">
        <w:t xml:space="preserve"> </w:t>
      </w:r>
      <w:r w:rsidR="00FD7467">
        <w:rPr>
          <w:rFonts w:ascii="Tahoma" w:hAnsi="Tahoma" w:cs="Tahoma"/>
          <w:color w:val="000000" w:themeColor="text1"/>
          <w:sz w:val="20"/>
          <w:szCs w:val="20"/>
        </w:rPr>
        <w:t>)</w:t>
      </w:r>
      <w:r w:rsidR="00FD7467">
        <w:rPr>
          <w:rFonts w:cs="B Nazanin" w:hint="cs"/>
          <w:sz w:val="24"/>
          <w:szCs w:val="24"/>
          <w:rtl/>
        </w:rPr>
        <w:t xml:space="preserve"> ) </w:t>
      </w:r>
      <w:r w:rsidRPr="00042724">
        <w:rPr>
          <w:rFonts w:cs="B Nazanin" w:hint="cs"/>
          <w:sz w:val="24"/>
          <w:szCs w:val="24"/>
          <w:rtl/>
        </w:rPr>
        <w:t>استفاده شد.</w:t>
      </w:r>
      <w:r w:rsidR="00FD7467">
        <w:rPr>
          <w:rFonts w:cs="B Nazanin" w:hint="cs"/>
          <w:sz w:val="24"/>
          <w:szCs w:val="24"/>
          <w:rtl/>
        </w:rPr>
        <w:t xml:space="preserve"> نتایج </w:t>
      </w:r>
      <w:r w:rsidRPr="00042724">
        <w:rPr>
          <w:rFonts w:cs="B Nazanin" w:hint="cs"/>
          <w:sz w:val="24"/>
          <w:szCs w:val="24"/>
          <w:rtl/>
        </w:rPr>
        <w:t>پژوهش نشان داد که آموزش گروهی کنترل خشونت به طور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معنی داری پرخاشگری دانش آموزان دختر</w:t>
      </w:r>
      <w:r w:rsidR="00FD7467">
        <w:rPr>
          <w:rFonts w:cs="B Nazanin" w:hint="cs"/>
          <w:sz w:val="24"/>
          <w:szCs w:val="24"/>
          <w:rtl/>
        </w:rPr>
        <w:t xml:space="preserve"> </w:t>
      </w:r>
      <w:r w:rsidRPr="00042724">
        <w:rPr>
          <w:rFonts w:cs="B Nazanin" w:hint="cs"/>
          <w:sz w:val="24"/>
          <w:szCs w:val="24"/>
          <w:rtl/>
        </w:rPr>
        <w:t>ورزشکار را کاهش داده است (</w:t>
      </w:r>
      <w:r w:rsidRPr="00042724">
        <w:rPr>
          <w:rFonts w:cs="B Nazanin"/>
          <w:sz w:val="24"/>
          <w:szCs w:val="24"/>
        </w:rPr>
        <w:t>0/001</w:t>
      </w:r>
      <w:r w:rsidRPr="00042724">
        <w:rPr>
          <w:rFonts w:cs="B Nazanin" w:hint="cs"/>
          <w:sz w:val="24"/>
          <w:szCs w:val="24"/>
          <w:rtl/>
        </w:rPr>
        <w:t>&gt;</w:t>
      </w:r>
      <w:r w:rsidRPr="00042724">
        <w:rPr>
          <w:rFonts w:cs="B Nazanin"/>
          <w:sz w:val="24"/>
          <w:szCs w:val="24"/>
        </w:rPr>
        <w:t>p</w:t>
      </w:r>
      <w:r w:rsidRPr="00042724">
        <w:rPr>
          <w:rFonts w:cs="B Nazanin" w:hint="cs"/>
          <w:sz w:val="24"/>
          <w:szCs w:val="24"/>
          <w:rtl/>
        </w:rPr>
        <w:t>). درنتیجه می توان ازطریق آموزش های کنترل خشونت در دانش آموزان ورزشکار سطح خشونت را کاهش دهیم.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02"/>
      </w:tblGrid>
      <w:tr w:rsidR="00042724" w:rsidRPr="00042724" w:rsidTr="00C37581">
        <w:trPr>
          <w:trHeight w:val="462"/>
        </w:trPr>
        <w:tc>
          <w:tcPr>
            <w:tcW w:w="1702" w:type="dxa"/>
          </w:tcPr>
          <w:p w:rsidR="00042724" w:rsidRPr="00042724" w:rsidRDefault="00042724" w:rsidP="00042724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42724">
              <w:rPr>
                <w:rFonts w:cs="B Nazanin" w:hint="cs"/>
                <w:b/>
                <w:bCs/>
                <w:sz w:val="24"/>
                <w:szCs w:val="24"/>
                <w:rtl/>
              </w:rPr>
              <w:t>کلمات کلیدی:</w:t>
            </w:r>
          </w:p>
        </w:tc>
      </w:tr>
    </w:tbl>
    <w:p w:rsidR="00042724" w:rsidRPr="00042724" w:rsidRDefault="00042724" w:rsidP="00042724">
      <w:pPr>
        <w:spacing w:line="360" w:lineRule="auto"/>
        <w:jc w:val="both"/>
        <w:rPr>
          <w:rFonts w:cs="Times New Roman"/>
          <w:sz w:val="24"/>
          <w:szCs w:val="24"/>
          <w:rtl/>
        </w:rPr>
      </w:pPr>
      <w:r w:rsidRPr="00042724">
        <w:rPr>
          <w:rFonts w:cs="B Nazanin" w:hint="cs"/>
          <w:sz w:val="24"/>
          <w:szCs w:val="24"/>
          <w:rtl/>
        </w:rPr>
        <w:t xml:space="preserve">آموزش گروهی کنترل خشم </w:t>
      </w:r>
      <w:r w:rsidRPr="00042724">
        <w:rPr>
          <w:rFonts w:cs="Times New Roman" w:hint="cs"/>
          <w:sz w:val="24"/>
          <w:szCs w:val="24"/>
          <w:rtl/>
        </w:rPr>
        <w:t>، پرخاشگری دانش آموزان</w:t>
      </w:r>
      <w:r w:rsidR="005C47A6">
        <w:rPr>
          <w:rFonts w:cs="Times New Roman" w:hint="cs"/>
          <w:sz w:val="24"/>
          <w:szCs w:val="24"/>
          <w:rtl/>
        </w:rPr>
        <w:t xml:space="preserve"> ،</w:t>
      </w:r>
      <w:r w:rsidRPr="00042724">
        <w:rPr>
          <w:rFonts w:cs="Times New Roman" w:hint="cs"/>
          <w:sz w:val="24"/>
          <w:szCs w:val="24"/>
          <w:rtl/>
        </w:rPr>
        <w:t xml:space="preserve"> ورزشکار</w:t>
      </w:r>
    </w:p>
    <w:p w:rsidR="001B4E00" w:rsidRDefault="001B4E00" w:rsidP="00042724"/>
    <w:sectPr w:rsidR="001B4E00" w:rsidSect="00042724">
      <w:pgSz w:w="12240" w:h="15840"/>
      <w:pgMar w:top="2155" w:right="2155" w:bottom="2155" w:left="215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A1002AEF" w:usb1="D000604A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42724"/>
    <w:rsid w:val="00042724"/>
    <w:rsid w:val="001B4E00"/>
    <w:rsid w:val="005C47A6"/>
    <w:rsid w:val="00FD7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724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2724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2016-12-05T11:25:00Z</dcterms:created>
  <dcterms:modified xsi:type="dcterms:W3CDTF">2016-12-05T11:58:00Z</dcterms:modified>
</cp:coreProperties>
</file>