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3C3" w:rsidRPr="00AE43C3" w:rsidRDefault="00F94997" w:rsidP="00F94997">
      <w:pPr>
        <w:bidi/>
        <w:spacing w:after="0"/>
        <w:ind w:left="288" w:right="288"/>
        <w:jc w:val="center"/>
        <w:rPr>
          <w:rFonts w:cs="B Nazanin"/>
          <w:b/>
          <w:bCs/>
          <w:sz w:val="32"/>
          <w:szCs w:val="32"/>
          <w:rtl/>
        </w:rPr>
      </w:pPr>
      <w:r>
        <w:rPr>
          <w:rFonts w:cs="B Nazanin" w:hint="cs"/>
          <w:b/>
          <w:bCs/>
          <w:sz w:val="32"/>
          <w:szCs w:val="32"/>
          <w:rtl/>
        </w:rPr>
        <w:t xml:space="preserve">تحلیل اکتشافی </w:t>
      </w:r>
      <w:r w:rsidR="00AE43C3" w:rsidRPr="00AE43C3">
        <w:rPr>
          <w:rFonts w:cs="B Nazanin" w:hint="cs"/>
          <w:b/>
          <w:bCs/>
          <w:sz w:val="32"/>
          <w:szCs w:val="32"/>
          <w:rtl/>
        </w:rPr>
        <w:t>موانع جذب خیرین در ورزش:</w:t>
      </w:r>
      <w:r w:rsidR="00616163">
        <w:rPr>
          <w:rFonts w:cs="B Nazanin" w:hint="cs"/>
          <w:b/>
          <w:bCs/>
          <w:sz w:val="32"/>
          <w:szCs w:val="32"/>
          <w:rtl/>
        </w:rPr>
        <w:t xml:space="preserve"> </w:t>
      </w:r>
      <w:bookmarkStart w:id="0" w:name="_GoBack"/>
      <w:bookmarkEnd w:id="0"/>
      <w:r>
        <w:rPr>
          <w:rFonts w:cs="B Nazanin" w:hint="cs"/>
          <w:b/>
          <w:bCs/>
          <w:sz w:val="32"/>
          <w:szCs w:val="32"/>
          <w:rtl/>
        </w:rPr>
        <w:t>با رویکرد طرح های ترکیبی</w:t>
      </w:r>
      <w:r w:rsidR="00AE43C3" w:rsidRPr="00AE43C3">
        <w:rPr>
          <w:rFonts w:cs="B Nazanin" w:hint="cs"/>
          <w:b/>
          <w:bCs/>
          <w:sz w:val="32"/>
          <w:szCs w:val="32"/>
          <w:rtl/>
        </w:rPr>
        <w:t xml:space="preserve"> </w:t>
      </w:r>
    </w:p>
    <w:p w:rsidR="00AD331A" w:rsidRPr="00AE43C3" w:rsidRDefault="00AD331A" w:rsidP="00AE43C3">
      <w:pPr>
        <w:bidi/>
        <w:spacing w:after="0" w:line="276" w:lineRule="auto"/>
        <w:ind w:left="288" w:right="288"/>
        <w:jc w:val="both"/>
        <w:rPr>
          <w:rFonts w:cs="B Lotus"/>
          <w:b/>
          <w:bCs/>
          <w:color w:val="000000" w:themeColor="text1"/>
          <w:sz w:val="24"/>
          <w:szCs w:val="24"/>
          <w:rtl/>
        </w:rPr>
      </w:pPr>
      <w:r w:rsidRPr="00AE43C3">
        <w:rPr>
          <w:rFonts w:cs="B Lotus" w:hint="cs"/>
          <w:b/>
          <w:bCs/>
          <w:color w:val="000000" w:themeColor="text1"/>
          <w:sz w:val="24"/>
          <w:szCs w:val="24"/>
          <w:rtl/>
        </w:rPr>
        <w:t>مقدمه :</w:t>
      </w:r>
    </w:p>
    <w:p w:rsidR="00AE43C3" w:rsidRPr="00AE43C3" w:rsidRDefault="00AD331A" w:rsidP="00AE43C3">
      <w:pPr>
        <w:bidi/>
        <w:spacing w:after="0" w:line="276" w:lineRule="auto"/>
        <w:jc w:val="both"/>
        <w:rPr>
          <w:rFonts w:ascii="Anonymous-200" w:hAnsi="Anonymous-200" w:cs="B Lotus"/>
          <w:color w:val="000000" w:themeColor="text1"/>
          <w:sz w:val="24"/>
          <w:szCs w:val="24"/>
          <w:rtl/>
          <w:lang w:bidi="fa-IR"/>
        </w:rPr>
      </w:pPr>
      <w:r w:rsidRPr="00AE43C3">
        <w:rPr>
          <w:rFonts w:ascii="Anonymous-200" w:hAnsi="Anonymous-200" w:cs="B Lotus" w:hint="cs"/>
          <w:color w:val="000000" w:themeColor="text1"/>
          <w:sz w:val="24"/>
          <w:szCs w:val="24"/>
          <w:rtl/>
        </w:rPr>
        <w:t>با بررسی دگرگونی های تازه</w:t>
      </w:r>
      <w:r w:rsidRPr="00AE43C3">
        <w:rPr>
          <w:rFonts w:ascii="Anonymous-200" w:hAnsi="Anonymous-200" w:cs="B Lotus"/>
          <w:color w:val="000000" w:themeColor="text1"/>
          <w:sz w:val="24"/>
          <w:szCs w:val="24"/>
          <w:rtl/>
        </w:rPr>
        <w:softHyphen/>
      </w:r>
      <w:r w:rsidRPr="00AE43C3">
        <w:rPr>
          <w:rFonts w:ascii="Anonymous-200" w:hAnsi="Anonymous-200" w:cs="B Lotus" w:hint="cs"/>
          <w:color w:val="000000" w:themeColor="text1"/>
          <w:sz w:val="24"/>
          <w:szCs w:val="24"/>
          <w:rtl/>
        </w:rPr>
        <w:t>ای که در جهان پدید آمده و با گسترش دامنه خدمات دولتی در سال</w:t>
      </w:r>
      <w:r w:rsidRPr="00AE43C3">
        <w:rPr>
          <w:rFonts w:ascii="Anonymous-200" w:hAnsi="Anonymous-200" w:cs="B Lotus"/>
          <w:color w:val="000000" w:themeColor="text1"/>
          <w:sz w:val="24"/>
          <w:szCs w:val="24"/>
          <w:rtl/>
        </w:rPr>
        <w:softHyphen/>
      </w:r>
      <w:r w:rsidRPr="00AE43C3">
        <w:rPr>
          <w:rFonts w:ascii="Anonymous-200" w:hAnsi="Anonymous-200" w:cs="B Lotus" w:hint="cs"/>
          <w:color w:val="000000" w:themeColor="text1"/>
          <w:sz w:val="24"/>
          <w:szCs w:val="24"/>
          <w:rtl/>
        </w:rPr>
        <w:t>های اخیر، افزایش هزینه های عمومی، مسایل اقتصادی  و بسیاری عناصر دیگر ، لازم است تا بهبود کارکرد سازما ن های دولتی بعنوان یک امر حیاتی مورد توجه قرار گیرد</w:t>
      </w:r>
      <w:r w:rsidRPr="00AE43C3">
        <w:rPr>
          <w:rFonts w:ascii="Anonymous-200" w:hAnsi="Anonymous-200" w:cs="B Lotus"/>
          <w:color w:val="000000" w:themeColor="text1"/>
          <w:sz w:val="24"/>
          <w:szCs w:val="24"/>
        </w:rPr>
        <w:t>.</w:t>
      </w:r>
      <w:r w:rsidRPr="00AE43C3">
        <w:rPr>
          <w:rFonts w:ascii="Anonymous-200" w:hAnsi="Anonymous-200" w:cs="B Lotus" w:hint="cs"/>
          <w:color w:val="000000" w:themeColor="text1"/>
          <w:sz w:val="24"/>
          <w:szCs w:val="24"/>
          <w:rtl/>
        </w:rPr>
        <w:t xml:space="preserve"> یکی از راه هایی که برای غلبه بر مشکلات بخش عمومی پیشنهاد شده و به صورت گسترده طرفدار پیدا کرده، واگذاری کارها به بخش خصوصی است. همانطور که اهداف خصوصی سازی از یک کشور به کشور دیگر فرق می</w:t>
      </w:r>
      <w:r w:rsidRPr="00AE43C3">
        <w:rPr>
          <w:rFonts w:ascii="Anonymous-200" w:hAnsi="Anonymous-200" w:cs="B Lotus"/>
          <w:color w:val="000000" w:themeColor="text1"/>
          <w:sz w:val="24"/>
          <w:szCs w:val="24"/>
          <w:rtl/>
        </w:rPr>
        <w:softHyphen/>
      </w:r>
      <w:r w:rsidRPr="00AE43C3">
        <w:rPr>
          <w:rFonts w:ascii="Anonymous-200" w:hAnsi="Anonymous-200" w:cs="B Lotus" w:hint="cs"/>
          <w:color w:val="000000" w:themeColor="text1"/>
          <w:sz w:val="24"/>
          <w:szCs w:val="24"/>
          <w:rtl/>
        </w:rPr>
        <w:t>کند، راهکارهای مورد استفاده آنها نیز متفاوت است. بطور کلی طیف گسترده</w:t>
      </w:r>
      <w:r w:rsidRPr="00AE43C3">
        <w:rPr>
          <w:rFonts w:ascii="Anonymous-200" w:hAnsi="Anonymous-200" w:cs="B Lotus"/>
          <w:color w:val="000000" w:themeColor="text1"/>
          <w:sz w:val="24"/>
          <w:szCs w:val="24"/>
          <w:rtl/>
        </w:rPr>
        <w:softHyphen/>
      </w:r>
      <w:r w:rsidRPr="00AE43C3">
        <w:rPr>
          <w:rFonts w:ascii="Anonymous-200" w:hAnsi="Anonymous-200" w:cs="B Lotus" w:hint="cs"/>
          <w:color w:val="000000" w:themeColor="text1"/>
          <w:sz w:val="24"/>
          <w:szCs w:val="24"/>
          <w:rtl/>
        </w:rPr>
        <w:t>ای از راهکارها وجود دارد که بر حسب سیاست هر کشور یک یا چند راهکار و روش اعم از فروش دارایی های دولت  به بخش خصوصی، تجدید ساختار سازمانی دولت و تجزیه آن ها به سازمان های کوچک و یا واگذاری به بخش خصوصی انتخاب می شود</w:t>
      </w:r>
      <w:r w:rsidRPr="00AE43C3">
        <w:rPr>
          <w:rFonts w:ascii="Anonymous-200" w:hAnsi="Anonymous-200" w:cs="B Lotus"/>
          <w:color w:val="000000" w:themeColor="text1"/>
          <w:sz w:val="24"/>
          <w:szCs w:val="24"/>
        </w:rPr>
        <w:t xml:space="preserve"> </w:t>
      </w:r>
      <w:r w:rsidRPr="00AE43C3">
        <w:rPr>
          <w:rFonts w:ascii="Anonymous-200" w:hAnsi="Anonymous-200" w:cs="B Lotus" w:hint="cs"/>
          <w:color w:val="000000" w:themeColor="text1"/>
          <w:sz w:val="24"/>
          <w:szCs w:val="24"/>
          <w:rtl/>
        </w:rPr>
        <w:t>(</w:t>
      </w:r>
      <w:r w:rsidRPr="00AE43C3">
        <w:rPr>
          <w:rFonts w:ascii="Anonymous-200" w:hAnsi="Anonymous-200" w:cs="B Lotus" w:hint="cs"/>
          <w:color w:val="000000" w:themeColor="text1"/>
          <w:sz w:val="24"/>
          <w:szCs w:val="24"/>
          <w:rtl/>
          <w:lang w:bidi="fa-IR"/>
        </w:rPr>
        <w:t>کاشف و همکاران، 1388</w:t>
      </w:r>
      <w:r w:rsidRPr="00AE43C3">
        <w:rPr>
          <w:rFonts w:ascii="Anonymous-200" w:hAnsi="Anonymous-200" w:cs="B Lotus" w:hint="cs"/>
          <w:color w:val="000000" w:themeColor="text1"/>
          <w:sz w:val="24"/>
          <w:szCs w:val="24"/>
          <w:rtl/>
        </w:rPr>
        <w:t>).</w:t>
      </w:r>
      <w:r w:rsidRPr="00AE43C3">
        <w:rPr>
          <w:rFonts w:ascii="Anonymous-200" w:hAnsi="Anonymous-200" w:cs="B Lotus" w:hint="cs"/>
          <w:b/>
          <w:bCs/>
          <w:color w:val="000000" w:themeColor="text1"/>
          <w:sz w:val="24"/>
          <w:szCs w:val="24"/>
          <w:rtl/>
        </w:rPr>
        <w:t xml:space="preserve"> </w:t>
      </w:r>
      <w:r w:rsidRPr="00AE43C3">
        <w:rPr>
          <w:rFonts w:ascii="Anonymous-200" w:hAnsi="Anonymous-200" w:cs="B Lotus" w:hint="cs"/>
          <w:color w:val="000000" w:themeColor="text1"/>
          <w:sz w:val="24"/>
          <w:szCs w:val="24"/>
          <w:rtl/>
          <w:lang w:bidi="fa-IR"/>
        </w:rPr>
        <w:t>به این ترتیب، دولت ها خصوصی سازی خدمات و بنگاه های دولتی و مشارکت مردم در اجرای امور را از ابزار های مهم توسعه شناخته و در اغلب موارد اجرا نموده</w:t>
      </w:r>
      <w:r w:rsidRPr="00AE43C3">
        <w:rPr>
          <w:rFonts w:ascii="Anonymous-200" w:hAnsi="Anonymous-200" w:cs="B Lotus" w:hint="cs"/>
          <w:color w:val="000000" w:themeColor="text1"/>
          <w:sz w:val="24"/>
          <w:szCs w:val="24"/>
          <w:rtl/>
          <w:lang w:bidi="fa-IR"/>
        </w:rPr>
        <w:softHyphen/>
        <w:t>اند، اما تجربه چند دهه اجرای خصوصی سازی در نقاط مختلف جهان حاکی از آن است که این امر دستاوردهای متفاوتی را در کشورها بدنبال داشته است. زیرا اهداف کشور ها از اجرای خصوصی سازی متفاوت بوده ، و با طیف گسترده ای از موانع روبرو است و لذا  برای نیل به اهداف خود نیازمند راهبرد ها و طرح های متفاوت و متناسب با همان کشور می باشد(توکلی  و رضوی ،1387).تنوع سازمان های غیر انتفایی بسیار زیاد است و فعالت های گوناگونی را در بر می گبرد که یکی از آن ها سازمان های خیریه و بشر دوستی است(ونوس، 1388). منظور از موسسات خیریه، موسسات و انجمن های غیر انتفاعی، عام المنفعه و غیر سیاسی هستند که از نظر افراد حقیقی و حقوقی تاسیس شده و در زمینه ارائه خدمات اجتماعی به افراد فعالیت می کنند. اصولا موسسات خیریه بنابر ماهیت شکل گیری خود به افراد علاقه مند به کارهای عام امنفعه و داوطلبانه متکی هستند و به طوری که این افراد بازوی اجرایی ایم موسسات محسوب می شوند و در خط مقدم ارتباط با افراد هدف قرار دارند(سیارمف</w:t>
      </w:r>
      <w:r w:rsidR="00293AD8">
        <w:rPr>
          <w:rFonts w:ascii="Anonymous-200" w:hAnsi="Anonymous-200" w:cs="B Lotus" w:hint="cs"/>
          <w:color w:val="000000" w:themeColor="text1"/>
          <w:sz w:val="24"/>
          <w:szCs w:val="24"/>
          <w:rtl/>
          <w:lang w:bidi="fa-IR"/>
        </w:rPr>
        <w:t>،</w:t>
      </w:r>
      <w:r w:rsidRPr="00AE43C3">
        <w:rPr>
          <w:rFonts w:ascii="Anonymous-200" w:hAnsi="Anonymous-200" w:cs="B Lotus" w:hint="cs"/>
          <w:color w:val="000000" w:themeColor="text1"/>
          <w:sz w:val="24"/>
          <w:szCs w:val="24"/>
          <w:rtl/>
          <w:lang w:bidi="fa-IR"/>
        </w:rPr>
        <w:t xml:space="preserve"> 2012).</w:t>
      </w:r>
    </w:p>
    <w:p w:rsidR="00AD331A" w:rsidRPr="00AE43C3" w:rsidRDefault="00AD331A" w:rsidP="00AE43C3">
      <w:pPr>
        <w:bidi/>
        <w:spacing w:after="0" w:line="276" w:lineRule="auto"/>
        <w:jc w:val="both"/>
        <w:rPr>
          <w:rFonts w:ascii="Anonymous-200" w:hAnsi="Anonymous-200" w:cs="B Lotus"/>
          <w:color w:val="000000" w:themeColor="text1"/>
          <w:sz w:val="24"/>
          <w:szCs w:val="24"/>
          <w:rtl/>
          <w:lang w:bidi="fa-IR"/>
        </w:rPr>
      </w:pPr>
      <w:r w:rsidRPr="00AE43C3">
        <w:rPr>
          <w:rFonts w:ascii="Tahoma" w:cs="B Lotus" w:hint="cs"/>
          <w:b/>
          <w:bCs/>
          <w:color w:val="000000" w:themeColor="text1"/>
          <w:sz w:val="24"/>
          <w:szCs w:val="24"/>
          <w:rtl/>
        </w:rPr>
        <w:t>روش‌شناسی پژوهش</w:t>
      </w:r>
    </w:p>
    <w:p w:rsidR="00AD331A" w:rsidRPr="00AE43C3" w:rsidRDefault="00AD331A" w:rsidP="00AE43C3">
      <w:pPr>
        <w:autoSpaceDE w:val="0"/>
        <w:autoSpaceDN w:val="0"/>
        <w:bidi/>
        <w:adjustRightInd w:val="0"/>
        <w:spacing w:after="0" w:line="276" w:lineRule="auto"/>
        <w:jc w:val="both"/>
        <w:rPr>
          <w:rFonts w:cs="B Lotus"/>
          <w:color w:val="000000" w:themeColor="text1"/>
          <w:sz w:val="24"/>
          <w:szCs w:val="24"/>
          <w:rtl/>
        </w:rPr>
      </w:pPr>
      <w:r w:rsidRPr="00AE43C3">
        <w:rPr>
          <w:rFonts w:ascii="Tahoma" w:cs="B Lotus" w:hint="cs"/>
          <w:b/>
          <w:bCs/>
          <w:color w:val="000000" w:themeColor="text1"/>
          <w:sz w:val="24"/>
          <w:szCs w:val="24"/>
          <w:rtl/>
        </w:rPr>
        <w:t xml:space="preserve">در این پژوهش از روش پژوهش ((ترکیبی اکتشافی)) استفاده شد. پژوهش های ترکیبی در مقام یک روش، برای گردآوری، تجزیه و تحلیل دو نوع داده کمی و کیفی در یک پژوهش واحد یا مجموعه ای از پژوهش ها تاکید می کنند. فرض اساسی این است که کاربستی ترکیبی رویکرد کمی و کیفی در مقایسه با زمانی که هر یک از این رویکردها به تنهایی مورد استفاده قرار می گید.فهم بهتری </w:t>
      </w:r>
      <w:r w:rsidR="00293AD8">
        <w:rPr>
          <w:rFonts w:ascii="Tahoma" w:cs="B Lotus" w:hint="cs"/>
          <w:b/>
          <w:bCs/>
          <w:color w:val="000000" w:themeColor="text1"/>
          <w:sz w:val="24"/>
          <w:szCs w:val="24"/>
          <w:rtl/>
        </w:rPr>
        <w:t xml:space="preserve">پیرامون سوال های پژوهش حاصل شود. </w:t>
      </w:r>
      <w:r w:rsidRPr="00AE43C3">
        <w:rPr>
          <w:rFonts w:ascii="Tahoma" w:cs="B Lotus" w:hint="cs"/>
          <w:b/>
          <w:bCs/>
          <w:color w:val="000000" w:themeColor="text1"/>
          <w:sz w:val="24"/>
          <w:szCs w:val="24"/>
          <w:rtl/>
        </w:rPr>
        <w:t xml:space="preserve">در این پزوهش بدین ترتیب عمل شده که ابعاد و موانع جذب خیرین در ورزش بدون هیچ پی فرضی از دل داده های بخش کیفی شناسایی شده است . بخش کمی پژوهش نیز به روش توصیفی </w:t>
      </w:r>
      <w:r w:rsidRPr="00AE43C3">
        <w:rPr>
          <w:rFonts w:ascii="Times New Roman" w:hAnsi="Times New Roman" w:cs="Times New Roman" w:hint="cs"/>
          <w:b/>
          <w:bCs/>
          <w:color w:val="000000" w:themeColor="text1"/>
          <w:sz w:val="24"/>
          <w:szCs w:val="24"/>
          <w:rtl/>
        </w:rPr>
        <w:t>–</w:t>
      </w:r>
      <w:r w:rsidRPr="00AE43C3">
        <w:rPr>
          <w:rFonts w:ascii="Tahoma" w:cs="B Lotus" w:hint="cs"/>
          <w:b/>
          <w:bCs/>
          <w:color w:val="000000" w:themeColor="text1"/>
          <w:sz w:val="24"/>
          <w:szCs w:val="24"/>
          <w:rtl/>
        </w:rPr>
        <w:t xml:space="preserve"> پیمایشی انجام شده است.بدین ترییب که ابتدا بخش کیفی(پاسخ به سوال اول پژوهش ) داده ها با رعایت روایی متخصصان، از طریق مصاحبه ای نمیه هئایت شده رو در رو با 14 نفر از خیرین و متخصصان ورزشی که به روش نمونه گیری هدفمند و گلوله برفی انتخاب شدند، گردآوری گردید. با توجه به موضوع پژوهش از مصاحبه شوند ها در </w:t>
      </w:r>
      <w:r w:rsidRPr="00AE43C3">
        <w:rPr>
          <w:rFonts w:ascii="Tahoma" w:cs="B Lotus" w:hint="cs"/>
          <w:b/>
          <w:bCs/>
          <w:color w:val="000000" w:themeColor="text1"/>
          <w:sz w:val="24"/>
          <w:szCs w:val="24"/>
          <w:rtl/>
        </w:rPr>
        <w:lastRenderedPageBreak/>
        <w:t>خصوص تجارب و مشاهدات آنها در رابطه با موانع جذب خیرین در ورزش سوال شد. مصاحبه ها تا انجا ادامه یافت که اطلاعات به دست امده به مرز اشباع رسید و احساس بسندگی حاصل گشت. در این بخش داده ها از روش تحلیل محتوا و کد گذاری استفاده شد. تحلیل محتوا در بخش کیفی مستلزم چندین مرحله است که شامل آماده کردن داده ها برای تحلیل، انجام تحلیل های مختلف، عمیق و عمیق تر شدن برای فهم داده ها، تشریح داده ها و به دست آوردن تفسیر معنایی بسیط داده ها می باشد. از این روش برای کد گذاری باز</w:t>
      </w:r>
      <w:r w:rsidR="00293AD8">
        <w:rPr>
          <w:rFonts w:ascii="Tahoma" w:cs="B Lotus" w:hint="cs"/>
          <w:b/>
          <w:bCs/>
          <w:color w:val="000000" w:themeColor="text1"/>
          <w:sz w:val="24"/>
          <w:szCs w:val="24"/>
          <w:rtl/>
        </w:rPr>
        <w:t xml:space="preserve"> و سپس گد گذاری محوری می باشد.</w:t>
      </w:r>
      <w:r w:rsidRPr="00AE43C3">
        <w:rPr>
          <w:rFonts w:ascii="Tahoma" w:cs="B Lotus" w:hint="cs"/>
          <w:b/>
          <w:bCs/>
          <w:color w:val="000000" w:themeColor="text1"/>
          <w:sz w:val="24"/>
          <w:szCs w:val="24"/>
          <w:rtl/>
        </w:rPr>
        <w:t xml:space="preserve"> لذا نتایج بخش کیفی، پژوهشگر را به مسئله پژوهش نزدیک تر و ابعاد ان را روش تر و ملموس تر کرد و در نهایت ابعاد و نشانگرهای موانع جذب خیرین شناسایی گردید. در بخش کمی </w:t>
      </w:r>
      <w:r w:rsidRPr="00AE43C3">
        <w:rPr>
          <w:rFonts w:cs="B Lotus" w:hint="cs"/>
          <w:color w:val="000000" w:themeColor="text1"/>
          <w:sz w:val="24"/>
          <w:szCs w:val="24"/>
          <w:rtl/>
        </w:rPr>
        <w:t xml:space="preserve">جامعه آماری این تحقیق کلیه خیرین، مجمع خیرین مدرسه ساز استان فارس که مطابق با گزارشات این مجمع  تعداد 1403 نفر می باشد. که بر اساس جدول کوکران 302 نفر، به عنوان نمونه آماری تحقیق انتخاب شدند.  در این تحقیق از پرسش نامه محق ساخته استفاده شد که در بخش اول، شامل مشخصات فردی (سن ،جنست ،وضعیت تاهل، تحصیلات و....) و بخش دوم آن را پرسش نامه موانع جذب خیرین ورزشی تشکیل داد. و در 4 خرده مقیاس موانع ساختاری-اداری، موانع فرهنگی- اجتماعی، </w:t>
      </w:r>
      <w:r w:rsidRPr="00AE43C3">
        <w:rPr>
          <w:rFonts w:ascii="Tahoma" w:hAnsi="Tahoma" w:cs="B Lotus" w:hint="cs"/>
          <w:color w:val="000000" w:themeColor="text1"/>
          <w:sz w:val="24"/>
          <w:szCs w:val="24"/>
          <w:rtl/>
          <w:lang w:bidi="fa-IR"/>
        </w:rPr>
        <w:t>موانع حقوقی- قانونی</w:t>
      </w:r>
      <w:r w:rsidRPr="00AE43C3">
        <w:rPr>
          <w:rFonts w:cs="B Lotus" w:hint="cs"/>
          <w:color w:val="000000" w:themeColor="text1"/>
          <w:sz w:val="24"/>
          <w:szCs w:val="24"/>
          <w:rtl/>
        </w:rPr>
        <w:t xml:space="preserve">، موانع اقتصادی دسته بندی شد. پرسش نامه بر اساس مقیاس 7 ارزشی لیکرت تنظیم گردید. برای اطمینان از روایی صوری و محتوایی سوالات، از نظرات چندین نفر از اساتید مدیریت ورزشی، که در زمینه تخصص داشتند، استفاده شد. همچنین اعتبار سازه پرسش نامه مذکور نیز توسط تحلیل عامل اکتشافی مورد تایید قرار گرفت و پایایی پرسش نامه از ضریب آلفای کرونباخ محاسه گردید </w:t>
      </w:r>
      <w:r w:rsidRPr="00AE43C3">
        <w:rPr>
          <w:rFonts w:cs="B Lotus" w:hint="cs"/>
          <w:color w:val="000000" w:themeColor="text1"/>
          <w:sz w:val="24"/>
          <w:szCs w:val="24"/>
          <w:rtl/>
        </w:rPr>
        <w:t>.</w:t>
      </w:r>
      <w:r w:rsidRPr="00AE43C3">
        <w:rPr>
          <w:rFonts w:cs="B Lotus" w:hint="cs"/>
          <w:color w:val="000000" w:themeColor="text1"/>
          <w:sz w:val="24"/>
          <w:szCs w:val="24"/>
          <w:rtl/>
        </w:rPr>
        <w:t xml:space="preserve"> برای تجزیه و تحلیل آماری ااستباطی (تحلیل عامل اکتشافی و تحلیل مسیر ) استفاده گردید.</w:t>
      </w:r>
    </w:p>
    <w:p w:rsidR="00AD331A" w:rsidRPr="00AE43C3" w:rsidRDefault="00AD331A" w:rsidP="00AE43C3">
      <w:pPr>
        <w:autoSpaceDE w:val="0"/>
        <w:autoSpaceDN w:val="0"/>
        <w:bidi/>
        <w:adjustRightInd w:val="0"/>
        <w:spacing w:after="0" w:line="276" w:lineRule="auto"/>
        <w:jc w:val="both"/>
        <w:rPr>
          <w:rFonts w:cs="B Lotus"/>
          <w:b/>
          <w:bCs/>
          <w:color w:val="000000" w:themeColor="text1"/>
          <w:sz w:val="28"/>
          <w:szCs w:val="28"/>
          <w:rtl/>
        </w:rPr>
      </w:pPr>
      <w:r w:rsidRPr="00AE43C3">
        <w:rPr>
          <w:rFonts w:cs="B Lotus" w:hint="cs"/>
          <w:b/>
          <w:bCs/>
          <w:color w:val="000000" w:themeColor="text1"/>
          <w:sz w:val="28"/>
          <w:szCs w:val="28"/>
          <w:rtl/>
        </w:rPr>
        <w:t>یافته‌های پژوهش</w:t>
      </w:r>
    </w:p>
    <w:p w:rsidR="00AD331A" w:rsidRPr="00AE43C3" w:rsidRDefault="00AD331A" w:rsidP="00AE43C3">
      <w:pPr>
        <w:autoSpaceDE w:val="0"/>
        <w:autoSpaceDN w:val="0"/>
        <w:bidi/>
        <w:adjustRightInd w:val="0"/>
        <w:spacing w:after="0" w:line="276" w:lineRule="auto"/>
        <w:jc w:val="both"/>
        <w:rPr>
          <w:rFonts w:cs="B Lotus"/>
          <w:b/>
          <w:bCs/>
          <w:color w:val="000000" w:themeColor="text1"/>
          <w:sz w:val="24"/>
          <w:szCs w:val="24"/>
          <w:rtl/>
        </w:rPr>
      </w:pPr>
      <w:r w:rsidRPr="00AE43C3">
        <w:rPr>
          <w:rFonts w:cs="B Lotus" w:hint="cs"/>
          <w:b/>
          <w:bCs/>
          <w:color w:val="000000" w:themeColor="text1"/>
          <w:sz w:val="24"/>
          <w:szCs w:val="24"/>
          <w:rtl/>
        </w:rPr>
        <w:t>پس از کد گذاری و تحلیل مصاحبه های به روشی که ذکر شد، در پاسخ به سوال اول پژوهش، در 4 بعد و 26 سوال موانع جذب خیرین در ورزش شناسایی شد. نمودار شماره 1 به ابعاد 4 گانه موانع جذب خیر در ورزش اشاره کرده است.</w:t>
      </w:r>
    </w:p>
    <w:p w:rsidR="00AD331A" w:rsidRDefault="00AD331A" w:rsidP="00AD331A">
      <w:pPr>
        <w:autoSpaceDE w:val="0"/>
        <w:autoSpaceDN w:val="0"/>
        <w:bidi/>
        <w:adjustRightInd w:val="0"/>
        <w:jc w:val="center"/>
        <w:rPr>
          <w:rFonts w:cs="B Nazanin"/>
          <w:b/>
          <w:bCs/>
          <w:sz w:val="24"/>
          <w:rtl/>
        </w:rPr>
      </w:pPr>
      <w:r>
        <w:rPr>
          <w:rFonts w:cs="B Nazanin"/>
          <w:b/>
          <w:bCs/>
          <w:noProof/>
          <w:sz w:val="24"/>
        </w:rPr>
        <w:drawing>
          <wp:inline distT="0" distB="0" distL="0" distR="0" wp14:anchorId="76A6B289" wp14:editId="741C2DC6">
            <wp:extent cx="4781550" cy="2609850"/>
            <wp:effectExtent l="76200" t="76200" r="133350" b="133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1550" cy="26098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D331A" w:rsidRDefault="00AD331A" w:rsidP="00AD331A">
      <w:pPr>
        <w:autoSpaceDE w:val="0"/>
        <w:autoSpaceDN w:val="0"/>
        <w:bidi/>
        <w:adjustRightInd w:val="0"/>
        <w:jc w:val="center"/>
        <w:rPr>
          <w:rFonts w:cs="B Nazanin"/>
          <w:b/>
          <w:bCs/>
          <w:sz w:val="24"/>
          <w:rtl/>
        </w:rPr>
      </w:pPr>
      <w:r>
        <w:rPr>
          <w:rFonts w:cs="B Nazanin" w:hint="cs"/>
          <w:b/>
          <w:bCs/>
          <w:sz w:val="24"/>
          <w:rtl/>
        </w:rPr>
        <w:lastRenderedPageBreak/>
        <w:t>نمودار 1: الگوی موانع 4 گانه خیرین بخش کیفی پژوهش</w:t>
      </w:r>
    </w:p>
    <w:p w:rsidR="00AD331A" w:rsidRDefault="00AD331A" w:rsidP="00AD331A">
      <w:pPr>
        <w:autoSpaceDE w:val="0"/>
        <w:autoSpaceDN w:val="0"/>
        <w:bidi/>
        <w:adjustRightInd w:val="0"/>
        <w:jc w:val="center"/>
        <w:rPr>
          <w:rFonts w:cs="B Nazanin"/>
          <w:sz w:val="24"/>
          <w:rtl/>
        </w:rPr>
      </w:pPr>
      <w:r>
        <w:rPr>
          <w:rFonts w:cs="B Nazanin" w:hint="cs"/>
          <w:sz w:val="24"/>
          <w:rtl/>
        </w:rPr>
        <w:t xml:space="preserve">و در بخش کمی </w:t>
      </w:r>
      <w:r w:rsidRPr="00976FEE">
        <w:rPr>
          <w:rFonts w:cs="B Nazanin" w:hint="cs"/>
          <w:sz w:val="24"/>
          <w:rtl/>
        </w:rPr>
        <w:t>به منظور دسته بندی موانع جذب خیرین در ورزش از تحلیل عامل اکتشافی استفاده گردید. نتیجه آزمون کفایت نمونه برداری کیزر می یر الکین میزان 875/0 را نشان داد. آزمون کرویت بارتلت در سطح 99 درصد اطمینان معنادار شد. نتایج آزمون های کیزر- می یر- الکین و بارتلت نشان داد که داده های تحقیق حاضر برای تحلیل عامل مناسب می باشد. نتایج تحلیل عاملی نشان داد که در کل 4 عامل 786/87 درصد از واریانس های کل سوالات را در بر گرفت</w:t>
      </w:r>
    </w:p>
    <w:p w:rsidR="00AD331A" w:rsidRDefault="00AD331A" w:rsidP="00AD331A">
      <w:pPr>
        <w:bidi/>
        <w:ind w:left="95"/>
        <w:contextualSpacing/>
        <w:jc w:val="both"/>
        <w:rPr>
          <w:rFonts w:cs="B Nazanin"/>
          <w:sz w:val="24"/>
          <w:rtl/>
          <w:lang w:bidi="fa-IR"/>
        </w:rPr>
      </w:pPr>
      <w:r w:rsidRPr="00551F44">
        <w:rPr>
          <w:rFonts w:cs="B Nazanin" w:hint="cs"/>
          <w:sz w:val="24"/>
          <w:rtl/>
          <w:lang w:bidi="fa-IR"/>
        </w:rPr>
        <w:t>به منظور بررسی و میزان اهمیت هر یک از این 4 موانع جذب خیرین در ورزش  از روش تحلیل مسیر استفاده گردید. نایج این آزمون در جدول شماره 7و 8 نمایش داده شده است.</w:t>
      </w:r>
    </w:p>
    <w:p w:rsidR="00AD331A" w:rsidRDefault="00AD331A" w:rsidP="00AD331A">
      <w:pPr>
        <w:bidi/>
        <w:ind w:left="95"/>
        <w:contextualSpacing/>
        <w:jc w:val="both"/>
        <w:rPr>
          <w:rFonts w:cs="B Nazanin"/>
          <w:sz w:val="24"/>
          <w:rtl/>
          <w:lang w:bidi="fa-IR"/>
        </w:rPr>
      </w:pPr>
    </w:p>
    <w:p w:rsidR="00AD331A" w:rsidRPr="00B17EB0" w:rsidRDefault="00AD331A" w:rsidP="00AD331A">
      <w:pPr>
        <w:contextualSpacing/>
        <w:jc w:val="center"/>
        <w:rPr>
          <w:sz w:val="20"/>
          <w:szCs w:val="20"/>
          <w:lang w:bidi="fa-IR"/>
        </w:rPr>
      </w:pPr>
      <w:r w:rsidRPr="00B17EB0">
        <w:rPr>
          <w:rFonts w:hint="cs"/>
          <w:sz w:val="20"/>
          <w:szCs w:val="20"/>
          <w:rtl/>
          <w:lang w:bidi="fa-IR"/>
        </w:rPr>
        <w:t xml:space="preserve">جدول شماره </w:t>
      </w:r>
      <w:r>
        <w:rPr>
          <w:rFonts w:hint="cs"/>
          <w:sz w:val="20"/>
          <w:szCs w:val="20"/>
          <w:rtl/>
          <w:lang w:bidi="fa-IR"/>
        </w:rPr>
        <w:t>7</w:t>
      </w:r>
      <w:r w:rsidRPr="00B17EB0">
        <w:rPr>
          <w:rFonts w:hint="cs"/>
          <w:sz w:val="20"/>
          <w:szCs w:val="20"/>
          <w:rtl/>
          <w:lang w:bidi="fa-IR"/>
        </w:rPr>
        <w:t>: اثرات متغییرها بر جذب داوطلب در چشنواره های ورزشی آموزش و پرورش</w:t>
      </w:r>
    </w:p>
    <w:tbl>
      <w:tblPr>
        <w:bidiVisual/>
        <w:tblW w:w="0" w:type="auto"/>
        <w:jc w:val="center"/>
        <w:tblBorders>
          <w:top w:val="single" w:sz="4" w:space="0" w:color="7F7F7F"/>
          <w:bottom w:val="single" w:sz="4" w:space="0" w:color="7F7F7F"/>
        </w:tblBorders>
        <w:tblLook w:val="04A0" w:firstRow="1" w:lastRow="0" w:firstColumn="1" w:lastColumn="0" w:noHBand="0" w:noVBand="1"/>
      </w:tblPr>
      <w:tblGrid>
        <w:gridCol w:w="1288"/>
        <w:gridCol w:w="418"/>
        <w:gridCol w:w="805"/>
        <w:gridCol w:w="1164"/>
        <w:gridCol w:w="1221"/>
        <w:gridCol w:w="1221"/>
        <w:gridCol w:w="1187"/>
      </w:tblGrid>
      <w:tr w:rsidR="00AD331A" w:rsidRPr="00551F44" w:rsidTr="006B5A34">
        <w:trPr>
          <w:jc w:val="center"/>
        </w:trPr>
        <w:tc>
          <w:tcPr>
            <w:tcW w:w="1288" w:type="dxa"/>
            <w:tcBorders>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متغییرها</w:t>
            </w:r>
          </w:p>
        </w:tc>
        <w:tc>
          <w:tcPr>
            <w:tcW w:w="1223" w:type="dxa"/>
            <w:gridSpan w:val="2"/>
            <w:tcBorders>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مقدار آماره تی</w:t>
            </w:r>
          </w:p>
        </w:tc>
        <w:tc>
          <w:tcPr>
            <w:tcW w:w="1164" w:type="dxa"/>
            <w:tcBorders>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سطح معنا داری</w:t>
            </w:r>
          </w:p>
        </w:tc>
        <w:tc>
          <w:tcPr>
            <w:tcW w:w="1221" w:type="dxa"/>
            <w:tcBorders>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اثر مستقیم</w:t>
            </w:r>
          </w:p>
        </w:tc>
        <w:tc>
          <w:tcPr>
            <w:tcW w:w="1221" w:type="dxa"/>
            <w:tcBorders>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اثر غیر مستقیم</w:t>
            </w:r>
          </w:p>
        </w:tc>
        <w:tc>
          <w:tcPr>
            <w:tcW w:w="1187" w:type="dxa"/>
            <w:tcBorders>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اثر کلی</w:t>
            </w:r>
          </w:p>
        </w:tc>
      </w:tr>
      <w:tr w:rsidR="00AD331A" w:rsidRPr="00551F44" w:rsidTr="006B5A34">
        <w:trPr>
          <w:jc w:val="center"/>
        </w:trPr>
        <w:tc>
          <w:tcPr>
            <w:tcW w:w="1706" w:type="dxa"/>
            <w:gridSpan w:val="2"/>
            <w:tcBorders>
              <w:top w:val="single" w:sz="4" w:space="0" w:color="7F7F7F"/>
              <w:bottom w:val="single" w:sz="4" w:space="0" w:color="7F7F7F"/>
            </w:tcBorders>
            <w:shd w:val="clear" w:color="auto" w:fill="auto"/>
          </w:tcPr>
          <w:p w:rsidR="00AD331A" w:rsidRPr="00551F44" w:rsidRDefault="00AD331A" w:rsidP="006B5A34">
            <w:pPr>
              <w:spacing w:after="0"/>
              <w:jc w:val="center"/>
              <w:rPr>
                <w:rFonts w:ascii="Calibri" w:eastAsia="Calibri" w:hAnsi="Calibri" w:cs="B Nazanin"/>
                <w:sz w:val="20"/>
                <w:szCs w:val="20"/>
                <w:rtl/>
              </w:rPr>
            </w:pPr>
            <w:r w:rsidRPr="00551F44">
              <w:rPr>
                <w:rFonts w:ascii="Calibri" w:eastAsia="Calibri" w:hAnsi="Calibri" w:cs="B Nazanin" w:hint="cs"/>
                <w:sz w:val="20"/>
                <w:szCs w:val="20"/>
                <w:rtl/>
              </w:rPr>
              <w:t>موانع ساختاری- اداری</w:t>
            </w:r>
          </w:p>
        </w:tc>
        <w:tc>
          <w:tcPr>
            <w:tcW w:w="805"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456/13</w:t>
            </w:r>
          </w:p>
        </w:tc>
        <w:tc>
          <w:tcPr>
            <w:tcW w:w="1164"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001/0</w:t>
            </w:r>
          </w:p>
        </w:tc>
        <w:tc>
          <w:tcPr>
            <w:tcW w:w="1221"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401/0</w:t>
            </w:r>
          </w:p>
        </w:tc>
        <w:tc>
          <w:tcPr>
            <w:tcW w:w="1221"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ندارد</w:t>
            </w:r>
          </w:p>
        </w:tc>
        <w:tc>
          <w:tcPr>
            <w:tcW w:w="1187"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401/0</w:t>
            </w:r>
          </w:p>
        </w:tc>
      </w:tr>
      <w:tr w:rsidR="00AD331A" w:rsidRPr="00551F44" w:rsidTr="006B5A34">
        <w:trPr>
          <w:jc w:val="center"/>
        </w:trPr>
        <w:tc>
          <w:tcPr>
            <w:tcW w:w="1706" w:type="dxa"/>
            <w:gridSpan w:val="2"/>
            <w:shd w:val="clear" w:color="auto" w:fill="auto"/>
          </w:tcPr>
          <w:p w:rsidR="00AD331A" w:rsidRPr="00551F44" w:rsidRDefault="00AD331A" w:rsidP="006B5A34">
            <w:pPr>
              <w:spacing w:after="0"/>
              <w:jc w:val="center"/>
              <w:rPr>
                <w:rFonts w:ascii="Calibri" w:eastAsia="Calibri" w:hAnsi="Calibri" w:cs="B Nazanin"/>
                <w:sz w:val="20"/>
                <w:szCs w:val="20"/>
                <w:rtl/>
              </w:rPr>
            </w:pPr>
            <w:r w:rsidRPr="00551F44">
              <w:rPr>
                <w:rFonts w:ascii="Calibri" w:eastAsia="Calibri" w:hAnsi="Calibri" w:cs="B Nazanin" w:hint="cs"/>
                <w:sz w:val="20"/>
                <w:szCs w:val="20"/>
                <w:rtl/>
              </w:rPr>
              <w:t>موانع فرهنگی- اجتماعی</w:t>
            </w:r>
          </w:p>
        </w:tc>
        <w:tc>
          <w:tcPr>
            <w:tcW w:w="805"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675/19</w:t>
            </w:r>
          </w:p>
        </w:tc>
        <w:tc>
          <w:tcPr>
            <w:tcW w:w="1164"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001/0</w:t>
            </w:r>
          </w:p>
        </w:tc>
        <w:tc>
          <w:tcPr>
            <w:tcW w:w="1221"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512/0</w:t>
            </w:r>
          </w:p>
        </w:tc>
        <w:tc>
          <w:tcPr>
            <w:tcW w:w="1221"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ندارد</w:t>
            </w:r>
          </w:p>
        </w:tc>
        <w:tc>
          <w:tcPr>
            <w:tcW w:w="1187"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512/0</w:t>
            </w:r>
          </w:p>
        </w:tc>
      </w:tr>
      <w:tr w:rsidR="00AD331A" w:rsidRPr="00551F44" w:rsidTr="006B5A34">
        <w:trPr>
          <w:jc w:val="center"/>
        </w:trPr>
        <w:tc>
          <w:tcPr>
            <w:tcW w:w="1706" w:type="dxa"/>
            <w:gridSpan w:val="2"/>
            <w:tcBorders>
              <w:top w:val="single" w:sz="4" w:space="0" w:color="7F7F7F"/>
              <w:bottom w:val="single" w:sz="4" w:space="0" w:color="7F7F7F"/>
            </w:tcBorders>
            <w:shd w:val="clear" w:color="auto" w:fill="auto"/>
          </w:tcPr>
          <w:p w:rsidR="00AD331A" w:rsidRPr="00551F44" w:rsidRDefault="00AD331A" w:rsidP="006B5A34">
            <w:pPr>
              <w:spacing w:after="0"/>
              <w:jc w:val="center"/>
              <w:rPr>
                <w:rFonts w:ascii="Calibri" w:eastAsia="Calibri" w:hAnsi="Calibri" w:cs="B Nazanin"/>
                <w:sz w:val="20"/>
                <w:szCs w:val="20"/>
                <w:rtl/>
              </w:rPr>
            </w:pPr>
            <w:r w:rsidRPr="00551F44">
              <w:rPr>
                <w:rFonts w:ascii="Calibri" w:eastAsia="Calibri" w:hAnsi="Calibri" w:cs="B Nazanin" w:hint="cs"/>
                <w:sz w:val="20"/>
                <w:szCs w:val="20"/>
                <w:rtl/>
              </w:rPr>
              <w:t xml:space="preserve">موانع حقوقی قانونی  </w:t>
            </w:r>
          </w:p>
        </w:tc>
        <w:tc>
          <w:tcPr>
            <w:tcW w:w="805"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876/8</w:t>
            </w:r>
          </w:p>
        </w:tc>
        <w:tc>
          <w:tcPr>
            <w:tcW w:w="1164"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003/0</w:t>
            </w:r>
          </w:p>
        </w:tc>
        <w:tc>
          <w:tcPr>
            <w:tcW w:w="1221"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176/0</w:t>
            </w:r>
          </w:p>
        </w:tc>
        <w:tc>
          <w:tcPr>
            <w:tcW w:w="1221"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ندارد</w:t>
            </w:r>
          </w:p>
        </w:tc>
        <w:tc>
          <w:tcPr>
            <w:tcW w:w="1187" w:type="dxa"/>
            <w:tcBorders>
              <w:top w:val="single" w:sz="4" w:space="0" w:color="7F7F7F"/>
              <w:bottom w:val="single" w:sz="4" w:space="0" w:color="7F7F7F"/>
            </w:tcBorders>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176/0</w:t>
            </w:r>
          </w:p>
        </w:tc>
      </w:tr>
      <w:tr w:rsidR="00AD331A" w:rsidRPr="00551F44" w:rsidTr="006B5A34">
        <w:trPr>
          <w:jc w:val="center"/>
        </w:trPr>
        <w:tc>
          <w:tcPr>
            <w:tcW w:w="1706" w:type="dxa"/>
            <w:gridSpan w:val="2"/>
            <w:shd w:val="clear" w:color="auto" w:fill="auto"/>
          </w:tcPr>
          <w:p w:rsidR="00AD331A" w:rsidRPr="00551F44" w:rsidRDefault="00AD331A" w:rsidP="006B5A34">
            <w:pPr>
              <w:spacing w:after="0"/>
              <w:jc w:val="center"/>
              <w:rPr>
                <w:rFonts w:ascii="Calibri" w:eastAsia="Calibri" w:hAnsi="Calibri" w:cs="B Nazanin"/>
                <w:sz w:val="20"/>
                <w:szCs w:val="20"/>
                <w:rtl/>
              </w:rPr>
            </w:pPr>
            <w:r w:rsidRPr="00551F44">
              <w:rPr>
                <w:rFonts w:ascii="Calibri" w:eastAsia="Calibri" w:hAnsi="Calibri" w:cs="B Nazanin" w:hint="cs"/>
                <w:sz w:val="20"/>
                <w:szCs w:val="20"/>
                <w:rtl/>
              </w:rPr>
              <w:t>موانع اقتصادی</w:t>
            </w:r>
          </w:p>
        </w:tc>
        <w:tc>
          <w:tcPr>
            <w:tcW w:w="805"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234/5</w:t>
            </w:r>
          </w:p>
        </w:tc>
        <w:tc>
          <w:tcPr>
            <w:tcW w:w="1164"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005/0</w:t>
            </w:r>
          </w:p>
        </w:tc>
        <w:tc>
          <w:tcPr>
            <w:tcW w:w="1221"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106/0</w:t>
            </w:r>
          </w:p>
        </w:tc>
        <w:tc>
          <w:tcPr>
            <w:tcW w:w="1221"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ندارد</w:t>
            </w:r>
          </w:p>
        </w:tc>
        <w:tc>
          <w:tcPr>
            <w:tcW w:w="1187" w:type="dxa"/>
            <w:shd w:val="clear" w:color="auto" w:fill="auto"/>
          </w:tcPr>
          <w:p w:rsidR="00AD331A" w:rsidRPr="00551F44" w:rsidRDefault="00AD331A" w:rsidP="006B5A34">
            <w:pPr>
              <w:bidi/>
              <w:spacing w:after="0"/>
              <w:contextualSpacing/>
              <w:rPr>
                <w:rFonts w:ascii="Calibri" w:eastAsia="Calibri" w:hAnsi="Calibri" w:cs="B Nazanin"/>
                <w:sz w:val="20"/>
                <w:szCs w:val="20"/>
                <w:rtl/>
                <w:lang w:bidi="fa-IR"/>
              </w:rPr>
            </w:pPr>
            <w:r w:rsidRPr="00551F44">
              <w:rPr>
                <w:rFonts w:ascii="Calibri" w:eastAsia="Calibri" w:hAnsi="Calibri" w:cs="B Nazanin" w:hint="cs"/>
                <w:sz w:val="20"/>
                <w:szCs w:val="20"/>
                <w:rtl/>
                <w:lang w:bidi="fa-IR"/>
              </w:rPr>
              <w:t>106/0</w:t>
            </w:r>
          </w:p>
        </w:tc>
      </w:tr>
    </w:tbl>
    <w:p w:rsidR="00AD331A" w:rsidRPr="00551F44" w:rsidRDefault="00AD331A" w:rsidP="00AD331A">
      <w:pPr>
        <w:bidi/>
        <w:contextualSpacing/>
        <w:rPr>
          <w:rFonts w:cs="B Nazanin"/>
          <w:sz w:val="24"/>
          <w:rtl/>
          <w:lang w:bidi="fa-IR"/>
        </w:rPr>
      </w:pPr>
      <w:r w:rsidRPr="00551F44">
        <w:rPr>
          <w:rFonts w:cs="B Nazanin" w:hint="cs"/>
          <w:sz w:val="24"/>
          <w:rtl/>
          <w:lang w:bidi="fa-IR"/>
        </w:rPr>
        <w:t>همانطور که در نتایج جدول 7 نشان می دهد موانع فرهنگی- اجتماعی با ضریب تاثیر 512/0 بیشترین تاثیر را در عدم جذب خیرین در ورزش می گذارد.</w:t>
      </w:r>
    </w:p>
    <w:p w:rsidR="00AD331A" w:rsidRPr="00B17EB0" w:rsidRDefault="00AD331A" w:rsidP="00AD331A">
      <w:pPr>
        <w:contextualSpacing/>
        <w:jc w:val="center"/>
        <w:rPr>
          <w:sz w:val="20"/>
          <w:szCs w:val="20"/>
          <w:lang w:bidi="fa-IR"/>
        </w:rPr>
      </w:pPr>
      <w:r w:rsidRPr="00B17EB0">
        <w:rPr>
          <w:rFonts w:hint="cs"/>
          <w:sz w:val="20"/>
          <w:szCs w:val="20"/>
          <w:rtl/>
          <w:lang w:bidi="fa-IR"/>
        </w:rPr>
        <w:t xml:space="preserve">جدول شماره </w:t>
      </w:r>
      <w:r>
        <w:rPr>
          <w:rFonts w:hint="cs"/>
          <w:sz w:val="20"/>
          <w:szCs w:val="20"/>
          <w:rtl/>
          <w:lang w:bidi="fa-IR"/>
        </w:rPr>
        <w:t>8</w:t>
      </w:r>
      <w:r w:rsidRPr="00B17EB0">
        <w:rPr>
          <w:rFonts w:hint="cs"/>
          <w:sz w:val="20"/>
          <w:szCs w:val="20"/>
          <w:rtl/>
          <w:lang w:bidi="fa-IR"/>
        </w:rPr>
        <w:t>: برازش مدل</w:t>
      </w:r>
    </w:p>
    <w:tbl>
      <w:tblPr>
        <w:bidiVisual/>
        <w:tblW w:w="0" w:type="auto"/>
        <w:jc w:val="center"/>
        <w:tblBorders>
          <w:top w:val="single" w:sz="4" w:space="0" w:color="7F7F7F"/>
          <w:bottom w:val="single" w:sz="4" w:space="0" w:color="7F7F7F"/>
        </w:tblBorders>
        <w:tblLook w:val="04A0" w:firstRow="1" w:lastRow="0" w:firstColumn="1" w:lastColumn="0" w:noHBand="0" w:noVBand="1"/>
      </w:tblPr>
      <w:tblGrid>
        <w:gridCol w:w="563"/>
        <w:gridCol w:w="1560"/>
        <w:gridCol w:w="900"/>
        <w:gridCol w:w="707"/>
        <w:gridCol w:w="919"/>
        <w:gridCol w:w="721"/>
        <w:gridCol w:w="981"/>
        <w:gridCol w:w="759"/>
        <w:gridCol w:w="743"/>
      </w:tblGrid>
      <w:tr w:rsidR="00AD331A" w:rsidRPr="00551F44" w:rsidTr="006B5A34">
        <w:trPr>
          <w:trHeight w:val="755"/>
          <w:jc w:val="center"/>
        </w:trPr>
        <w:tc>
          <w:tcPr>
            <w:tcW w:w="268" w:type="dxa"/>
            <w:tcBorders>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p>
        </w:tc>
        <w:tc>
          <w:tcPr>
            <w:tcW w:w="1560" w:type="dxa"/>
            <w:tcBorders>
              <w:bottom w:val="single" w:sz="4" w:space="0" w:color="7F7F7F"/>
            </w:tcBorders>
            <w:shd w:val="clear" w:color="auto" w:fill="auto"/>
          </w:tcPr>
          <w:p w:rsidR="00AD331A" w:rsidRPr="00551F44" w:rsidRDefault="00AD331A" w:rsidP="006B5A34">
            <w:pPr>
              <w:bidi/>
              <w:spacing w:line="276" w:lineRule="auto"/>
              <w:jc w:val="right"/>
              <w:rPr>
                <w:rFonts w:asciiTheme="majorBidi" w:eastAsia="Calibri" w:hAnsiTheme="majorBidi" w:cstheme="majorBidi"/>
                <w:b/>
                <w:bCs/>
                <w:sz w:val="16"/>
                <w:szCs w:val="16"/>
                <w:lang w:val="en-GB"/>
              </w:rPr>
            </w:pPr>
            <w:r w:rsidRPr="00551F44">
              <w:rPr>
                <w:rFonts w:asciiTheme="majorBidi" w:eastAsia="Calibri" w:hAnsiTheme="majorBidi" w:cstheme="majorBidi"/>
                <w:b/>
                <w:bCs/>
                <w:sz w:val="16"/>
                <w:szCs w:val="16"/>
              </w:rPr>
              <w:t>Chi-square</w:t>
            </w:r>
          </w:p>
          <w:p w:rsidR="00AD331A" w:rsidRPr="00551F44" w:rsidRDefault="00AD331A" w:rsidP="006B5A34">
            <w:pPr>
              <w:bidi/>
              <w:spacing w:line="276" w:lineRule="auto"/>
              <w:jc w:val="center"/>
              <w:rPr>
                <w:rFonts w:asciiTheme="majorBidi" w:eastAsia="Calibri" w:hAnsiTheme="majorBidi" w:cstheme="majorBidi"/>
                <w:b/>
                <w:bCs/>
                <w:sz w:val="16"/>
                <w:szCs w:val="16"/>
                <w:rtl/>
                <w:lang w:val="en-GB"/>
              </w:rPr>
            </w:pPr>
            <w:r w:rsidRPr="00551F44">
              <w:rPr>
                <w:rFonts w:asciiTheme="majorBidi" w:eastAsia="Calibri" w:hAnsiTheme="majorBidi" w:cstheme="majorBidi"/>
                <w:b/>
                <w:bCs/>
                <w:sz w:val="16"/>
                <w:szCs w:val="16"/>
                <w:rtl/>
                <w:lang w:val="en-GB"/>
              </w:rPr>
              <w:t xml:space="preserve">         (</w:t>
            </w:r>
            <w:r w:rsidRPr="00551F44">
              <w:rPr>
                <w:rFonts w:asciiTheme="majorBidi" w:eastAsia="Calibri" w:hAnsiTheme="majorBidi" w:cstheme="majorBidi"/>
                <w:b/>
                <w:bCs/>
                <w:sz w:val="16"/>
                <w:szCs w:val="16"/>
                <w:lang w:val="en-GB"/>
              </w:rPr>
              <w:t>X</w:t>
            </w:r>
            <w:r w:rsidRPr="00551F44">
              <w:rPr>
                <w:rFonts w:asciiTheme="majorBidi" w:eastAsia="Calibri" w:hAnsiTheme="majorBidi" w:cstheme="majorBidi"/>
                <w:b/>
                <w:bCs/>
                <w:sz w:val="16"/>
                <w:szCs w:val="16"/>
                <w:vertAlign w:val="superscript"/>
                <w:lang w:val="en-GB"/>
              </w:rPr>
              <w:t>2</w:t>
            </w:r>
            <w:r w:rsidRPr="00551F44">
              <w:rPr>
                <w:rFonts w:asciiTheme="majorBidi" w:eastAsia="Calibri" w:hAnsiTheme="majorBidi" w:cstheme="majorBidi"/>
                <w:b/>
                <w:bCs/>
                <w:sz w:val="16"/>
                <w:szCs w:val="16"/>
                <w:rtl/>
                <w:lang w:val="en-GB"/>
              </w:rPr>
              <w:t>)</w:t>
            </w:r>
          </w:p>
        </w:tc>
        <w:tc>
          <w:tcPr>
            <w:tcW w:w="900" w:type="dxa"/>
            <w:tcBorders>
              <w:bottom w:val="single" w:sz="4" w:space="0" w:color="7F7F7F"/>
            </w:tcBorders>
            <w:shd w:val="clear" w:color="auto" w:fill="auto"/>
          </w:tcPr>
          <w:p w:rsidR="00AD331A" w:rsidRPr="00551F44" w:rsidRDefault="00AD331A" w:rsidP="006B5A34">
            <w:pPr>
              <w:bidi/>
              <w:spacing w:line="276" w:lineRule="auto"/>
              <w:jc w:val="center"/>
              <w:rPr>
                <w:rFonts w:asciiTheme="majorBidi" w:eastAsia="Calibri" w:hAnsiTheme="majorBidi" w:cstheme="majorBidi"/>
                <w:b/>
                <w:bCs/>
                <w:sz w:val="16"/>
                <w:szCs w:val="16"/>
                <w:lang w:val="en-GB"/>
              </w:rPr>
            </w:pPr>
            <w:proofErr w:type="spellStart"/>
            <w:r w:rsidRPr="00551F44">
              <w:rPr>
                <w:rFonts w:asciiTheme="majorBidi" w:eastAsia="Calibri" w:hAnsiTheme="majorBidi" w:cstheme="majorBidi"/>
                <w:b/>
                <w:bCs/>
                <w:sz w:val="16"/>
                <w:szCs w:val="16"/>
                <w:lang w:val="en-GB"/>
              </w:rPr>
              <w:t>df</w:t>
            </w:r>
            <w:proofErr w:type="spellEnd"/>
          </w:p>
        </w:tc>
        <w:tc>
          <w:tcPr>
            <w:tcW w:w="707" w:type="dxa"/>
            <w:tcBorders>
              <w:bottom w:val="single" w:sz="4" w:space="0" w:color="7F7F7F"/>
            </w:tcBorders>
            <w:shd w:val="clear" w:color="auto" w:fill="auto"/>
          </w:tcPr>
          <w:p w:rsidR="00AD331A" w:rsidRPr="00551F44" w:rsidRDefault="00AD331A" w:rsidP="006B5A34">
            <w:pPr>
              <w:bidi/>
              <w:spacing w:line="276" w:lineRule="auto"/>
              <w:jc w:val="both"/>
              <w:rPr>
                <w:rFonts w:asciiTheme="majorBidi" w:eastAsia="Calibri" w:hAnsiTheme="majorBidi" w:cstheme="majorBidi"/>
                <w:b/>
                <w:bCs/>
                <w:sz w:val="16"/>
                <w:szCs w:val="16"/>
                <w:lang w:val="en-GB"/>
              </w:rPr>
            </w:pPr>
            <w:r w:rsidRPr="00551F44">
              <w:rPr>
                <w:rFonts w:asciiTheme="majorBidi" w:eastAsia="Calibri" w:hAnsiTheme="majorBidi" w:cstheme="majorBidi"/>
                <w:b/>
                <w:bCs/>
                <w:sz w:val="16"/>
                <w:szCs w:val="16"/>
                <w:lang w:val="en-GB"/>
              </w:rPr>
              <w:t>X</w:t>
            </w:r>
            <w:r w:rsidRPr="00551F44">
              <w:rPr>
                <w:rFonts w:asciiTheme="majorBidi" w:eastAsia="Calibri" w:hAnsiTheme="majorBidi" w:cstheme="majorBidi"/>
                <w:b/>
                <w:bCs/>
                <w:sz w:val="16"/>
                <w:szCs w:val="16"/>
                <w:vertAlign w:val="superscript"/>
                <w:lang w:val="en-GB"/>
              </w:rPr>
              <w:t>2</w:t>
            </w:r>
            <w:r w:rsidRPr="00551F44">
              <w:rPr>
                <w:rFonts w:asciiTheme="majorBidi" w:eastAsia="Calibri" w:hAnsiTheme="majorBidi" w:cstheme="majorBidi"/>
                <w:b/>
                <w:bCs/>
                <w:sz w:val="16"/>
                <w:szCs w:val="16"/>
                <w:lang w:val="en-GB"/>
              </w:rPr>
              <w:t>/</w:t>
            </w:r>
            <w:proofErr w:type="spellStart"/>
            <w:r w:rsidRPr="00551F44">
              <w:rPr>
                <w:rFonts w:asciiTheme="majorBidi" w:eastAsia="Calibri" w:hAnsiTheme="majorBidi" w:cstheme="majorBidi"/>
                <w:b/>
                <w:bCs/>
                <w:sz w:val="16"/>
                <w:szCs w:val="16"/>
                <w:lang w:val="en-GB"/>
              </w:rPr>
              <w:t>df</w:t>
            </w:r>
            <w:proofErr w:type="spellEnd"/>
          </w:p>
        </w:tc>
        <w:tc>
          <w:tcPr>
            <w:tcW w:w="919" w:type="dxa"/>
            <w:tcBorders>
              <w:bottom w:val="single" w:sz="4" w:space="0" w:color="7F7F7F"/>
            </w:tcBorders>
            <w:shd w:val="clear" w:color="auto" w:fill="auto"/>
          </w:tcPr>
          <w:p w:rsidR="00AD331A" w:rsidRPr="00551F44" w:rsidRDefault="00AD331A" w:rsidP="006B5A34">
            <w:pPr>
              <w:bidi/>
              <w:spacing w:line="276" w:lineRule="auto"/>
              <w:jc w:val="both"/>
              <w:rPr>
                <w:rFonts w:asciiTheme="majorBidi" w:eastAsia="Calibri" w:hAnsiTheme="majorBidi" w:cstheme="majorBidi"/>
                <w:b/>
                <w:bCs/>
                <w:sz w:val="16"/>
                <w:szCs w:val="16"/>
                <w:rtl/>
              </w:rPr>
            </w:pPr>
            <w:r w:rsidRPr="00551F44">
              <w:rPr>
                <w:rFonts w:asciiTheme="majorBidi" w:eastAsia="Calibri" w:hAnsiTheme="majorBidi" w:cstheme="majorBidi"/>
                <w:b/>
                <w:bCs/>
                <w:sz w:val="16"/>
                <w:szCs w:val="16"/>
              </w:rPr>
              <w:t xml:space="preserve">   RSMEA</w:t>
            </w:r>
          </w:p>
        </w:tc>
        <w:tc>
          <w:tcPr>
            <w:tcW w:w="721" w:type="dxa"/>
            <w:tcBorders>
              <w:bottom w:val="single" w:sz="4" w:space="0" w:color="7F7F7F"/>
            </w:tcBorders>
            <w:shd w:val="clear" w:color="auto" w:fill="auto"/>
          </w:tcPr>
          <w:p w:rsidR="00AD331A" w:rsidRPr="00551F44" w:rsidRDefault="00AD331A" w:rsidP="006B5A34">
            <w:pPr>
              <w:bidi/>
              <w:spacing w:line="276" w:lineRule="auto"/>
              <w:rPr>
                <w:rFonts w:asciiTheme="majorBidi" w:eastAsia="Calibri" w:hAnsiTheme="majorBidi" w:cstheme="majorBidi"/>
                <w:b/>
                <w:bCs/>
                <w:sz w:val="16"/>
                <w:szCs w:val="16"/>
              </w:rPr>
            </w:pPr>
            <w:r w:rsidRPr="00551F44">
              <w:rPr>
                <w:rFonts w:asciiTheme="majorBidi" w:eastAsia="Calibri" w:hAnsiTheme="majorBidi" w:cstheme="majorBidi"/>
                <w:b/>
                <w:bCs/>
                <w:sz w:val="16"/>
                <w:szCs w:val="16"/>
              </w:rPr>
              <w:t>CFI</w:t>
            </w:r>
          </w:p>
          <w:p w:rsidR="00AD331A" w:rsidRPr="00551F44" w:rsidRDefault="00AD331A" w:rsidP="006B5A34">
            <w:pPr>
              <w:bidi/>
              <w:spacing w:line="276" w:lineRule="auto"/>
              <w:rPr>
                <w:rFonts w:asciiTheme="majorBidi" w:eastAsia="Calibri" w:hAnsiTheme="majorBidi" w:cstheme="majorBidi"/>
                <w:b/>
                <w:bCs/>
                <w:sz w:val="16"/>
                <w:szCs w:val="16"/>
                <w:rtl/>
              </w:rPr>
            </w:pPr>
          </w:p>
          <w:p w:rsidR="00AD331A" w:rsidRPr="00551F44" w:rsidRDefault="00AD331A" w:rsidP="006B5A34">
            <w:pPr>
              <w:bidi/>
              <w:spacing w:line="276" w:lineRule="auto"/>
              <w:rPr>
                <w:rFonts w:asciiTheme="majorBidi" w:eastAsia="Calibri" w:hAnsiTheme="majorBidi" w:cstheme="majorBidi"/>
                <w:b/>
                <w:bCs/>
                <w:sz w:val="16"/>
                <w:szCs w:val="16"/>
                <w:rtl/>
              </w:rPr>
            </w:pPr>
          </w:p>
        </w:tc>
        <w:tc>
          <w:tcPr>
            <w:tcW w:w="981" w:type="dxa"/>
            <w:tcBorders>
              <w:bottom w:val="single" w:sz="4" w:space="0" w:color="7F7F7F"/>
            </w:tcBorders>
            <w:shd w:val="clear" w:color="auto" w:fill="auto"/>
          </w:tcPr>
          <w:p w:rsidR="00AD331A" w:rsidRPr="00551F44" w:rsidRDefault="00AD331A" w:rsidP="006B5A34">
            <w:pPr>
              <w:bidi/>
              <w:spacing w:line="276" w:lineRule="auto"/>
              <w:jc w:val="both"/>
              <w:rPr>
                <w:rFonts w:asciiTheme="majorBidi" w:eastAsia="Calibri" w:hAnsiTheme="majorBidi" w:cstheme="majorBidi"/>
                <w:b/>
                <w:bCs/>
                <w:sz w:val="16"/>
                <w:szCs w:val="16"/>
                <w:rtl/>
              </w:rPr>
            </w:pPr>
            <w:r w:rsidRPr="00551F44">
              <w:rPr>
                <w:rFonts w:asciiTheme="majorBidi" w:eastAsia="Calibri" w:hAnsiTheme="majorBidi" w:cstheme="majorBidi"/>
                <w:b/>
                <w:bCs/>
                <w:sz w:val="16"/>
                <w:szCs w:val="16"/>
                <w:rtl/>
              </w:rPr>
              <w:t xml:space="preserve"> </w:t>
            </w:r>
            <w:r w:rsidRPr="00551F44">
              <w:rPr>
                <w:rFonts w:asciiTheme="majorBidi" w:eastAsia="Calibri" w:hAnsiTheme="majorBidi" w:cstheme="majorBidi"/>
                <w:b/>
                <w:bCs/>
                <w:sz w:val="16"/>
                <w:szCs w:val="16"/>
              </w:rPr>
              <w:t xml:space="preserve">    GFI</w:t>
            </w:r>
            <w:r w:rsidRPr="00551F44">
              <w:rPr>
                <w:rFonts w:asciiTheme="majorBidi" w:eastAsia="Calibri" w:hAnsiTheme="majorBidi" w:cstheme="majorBidi"/>
                <w:b/>
                <w:bCs/>
                <w:sz w:val="16"/>
                <w:szCs w:val="16"/>
                <w:rtl/>
              </w:rPr>
              <w:t xml:space="preserve">            </w:t>
            </w:r>
          </w:p>
        </w:tc>
        <w:tc>
          <w:tcPr>
            <w:tcW w:w="759" w:type="dxa"/>
            <w:tcBorders>
              <w:bottom w:val="single" w:sz="4" w:space="0" w:color="7F7F7F"/>
            </w:tcBorders>
            <w:shd w:val="clear" w:color="auto" w:fill="auto"/>
          </w:tcPr>
          <w:p w:rsidR="00AD331A" w:rsidRPr="00551F44" w:rsidRDefault="00AD331A" w:rsidP="006B5A34">
            <w:pPr>
              <w:bidi/>
              <w:spacing w:line="276" w:lineRule="auto"/>
              <w:jc w:val="both"/>
              <w:rPr>
                <w:rFonts w:asciiTheme="majorBidi" w:eastAsia="Calibri" w:hAnsiTheme="majorBidi" w:cstheme="majorBidi"/>
                <w:b/>
                <w:bCs/>
                <w:sz w:val="16"/>
                <w:szCs w:val="16"/>
              </w:rPr>
            </w:pPr>
            <w:r w:rsidRPr="00551F44">
              <w:rPr>
                <w:rFonts w:asciiTheme="majorBidi" w:eastAsia="Calibri" w:hAnsiTheme="majorBidi" w:cstheme="majorBidi"/>
                <w:b/>
                <w:bCs/>
                <w:sz w:val="16"/>
                <w:szCs w:val="16"/>
              </w:rPr>
              <w:t xml:space="preserve">   AGFI</w:t>
            </w:r>
          </w:p>
        </w:tc>
        <w:tc>
          <w:tcPr>
            <w:tcW w:w="743" w:type="dxa"/>
            <w:tcBorders>
              <w:bottom w:val="single" w:sz="4" w:space="0" w:color="7F7F7F"/>
            </w:tcBorders>
            <w:shd w:val="clear" w:color="auto" w:fill="auto"/>
          </w:tcPr>
          <w:p w:rsidR="00AD331A" w:rsidRPr="00551F44" w:rsidRDefault="00AD331A" w:rsidP="006B5A34">
            <w:pPr>
              <w:bidi/>
              <w:spacing w:line="276" w:lineRule="auto"/>
              <w:jc w:val="both"/>
              <w:rPr>
                <w:rFonts w:asciiTheme="majorBidi" w:eastAsia="Calibri" w:hAnsiTheme="majorBidi" w:cstheme="majorBidi"/>
                <w:b/>
                <w:bCs/>
                <w:sz w:val="16"/>
                <w:szCs w:val="16"/>
                <w:rtl/>
              </w:rPr>
            </w:pPr>
            <w:r w:rsidRPr="00551F44">
              <w:rPr>
                <w:rFonts w:asciiTheme="majorBidi" w:eastAsia="Calibri" w:hAnsiTheme="majorBidi" w:cstheme="majorBidi"/>
                <w:b/>
                <w:bCs/>
                <w:sz w:val="16"/>
                <w:szCs w:val="16"/>
              </w:rPr>
              <w:t xml:space="preserve">     NFL</w:t>
            </w:r>
          </w:p>
        </w:tc>
      </w:tr>
      <w:tr w:rsidR="00AD331A" w:rsidRPr="00551F44" w:rsidTr="006B5A34">
        <w:trPr>
          <w:jc w:val="center"/>
        </w:trPr>
        <w:tc>
          <w:tcPr>
            <w:tcW w:w="268"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lang w:bidi="fa-IR"/>
              </w:rPr>
            </w:pPr>
            <w:r w:rsidRPr="00551F44">
              <w:rPr>
                <w:rFonts w:ascii="Calibri" w:eastAsia="Calibri" w:hAnsi="Calibri" w:cs="B Nazanin" w:hint="cs"/>
                <w:b/>
                <w:bCs/>
                <w:sz w:val="16"/>
                <w:szCs w:val="16"/>
                <w:rtl/>
              </w:rPr>
              <w:t xml:space="preserve">میزان </w:t>
            </w:r>
          </w:p>
        </w:tc>
        <w:tc>
          <w:tcPr>
            <w:tcW w:w="1560"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lang w:val="en-GB"/>
              </w:rPr>
            </w:pPr>
            <w:r w:rsidRPr="00551F44">
              <w:rPr>
                <w:rFonts w:ascii="Calibri" w:eastAsia="Calibri" w:hAnsi="Calibri" w:cs="B Nazanin" w:hint="cs"/>
                <w:b/>
                <w:bCs/>
                <w:sz w:val="16"/>
                <w:szCs w:val="16"/>
                <w:rtl/>
                <w:lang w:val="en-GB"/>
              </w:rPr>
              <w:t>654/112</w:t>
            </w:r>
          </w:p>
        </w:tc>
        <w:tc>
          <w:tcPr>
            <w:tcW w:w="900"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58</w:t>
            </w:r>
          </w:p>
        </w:tc>
        <w:tc>
          <w:tcPr>
            <w:tcW w:w="707"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942/1</w:t>
            </w:r>
          </w:p>
        </w:tc>
        <w:tc>
          <w:tcPr>
            <w:tcW w:w="919"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041/0</w:t>
            </w:r>
          </w:p>
        </w:tc>
        <w:tc>
          <w:tcPr>
            <w:tcW w:w="721"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936/0</w:t>
            </w:r>
          </w:p>
        </w:tc>
        <w:tc>
          <w:tcPr>
            <w:tcW w:w="981"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973/0</w:t>
            </w:r>
          </w:p>
        </w:tc>
        <w:tc>
          <w:tcPr>
            <w:tcW w:w="759"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931/0</w:t>
            </w:r>
          </w:p>
        </w:tc>
        <w:tc>
          <w:tcPr>
            <w:tcW w:w="743"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961/0</w:t>
            </w:r>
          </w:p>
        </w:tc>
      </w:tr>
      <w:tr w:rsidR="00AD331A" w:rsidRPr="00551F44" w:rsidTr="006B5A34">
        <w:trPr>
          <w:jc w:val="center"/>
        </w:trPr>
        <w:tc>
          <w:tcPr>
            <w:tcW w:w="268" w:type="dxa"/>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 xml:space="preserve">ملاک </w:t>
            </w:r>
          </w:p>
        </w:tc>
        <w:tc>
          <w:tcPr>
            <w:tcW w:w="1560" w:type="dxa"/>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w:t>
            </w:r>
          </w:p>
        </w:tc>
        <w:tc>
          <w:tcPr>
            <w:tcW w:w="900" w:type="dxa"/>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کوچک تر از صفر نباشد</w:t>
            </w:r>
          </w:p>
        </w:tc>
        <w:tc>
          <w:tcPr>
            <w:tcW w:w="707" w:type="dxa"/>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کمتر از 3</w:t>
            </w:r>
          </w:p>
        </w:tc>
        <w:tc>
          <w:tcPr>
            <w:tcW w:w="919" w:type="dxa"/>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کمتر از 05/0</w:t>
            </w:r>
          </w:p>
        </w:tc>
        <w:tc>
          <w:tcPr>
            <w:tcW w:w="721" w:type="dxa"/>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بیشتر از 90/0</w:t>
            </w:r>
          </w:p>
        </w:tc>
        <w:tc>
          <w:tcPr>
            <w:tcW w:w="981" w:type="dxa"/>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بیشتر از 90/0</w:t>
            </w:r>
          </w:p>
        </w:tc>
        <w:tc>
          <w:tcPr>
            <w:tcW w:w="759" w:type="dxa"/>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بیشتر از 90/0</w:t>
            </w:r>
          </w:p>
        </w:tc>
        <w:tc>
          <w:tcPr>
            <w:tcW w:w="743" w:type="dxa"/>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بیشتر از 90/0</w:t>
            </w:r>
          </w:p>
        </w:tc>
      </w:tr>
      <w:tr w:rsidR="00AD331A" w:rsidRPr="00551F44" w:rsidTr="006B5A34">
        <w:trPr>
          <w:jc w:val="center"/>
        </w:trPr>
        <w:tc>
          <w:tcPr>
            <w:tcW w:w="268"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تفسیر</w:t>
            </w:r>
          </w:p>
        </w:tc>
        <w:tc>
          <w:tcPr>
            <w:tcW w:w="1560"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c>
          <w:tcPr>
            <w:tcW w:w="900"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c>
          <w:tcPr>
            <w:tcW w:w="707"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c>
          <w:tcPr>
            <w:tcW w:w="919"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c>
          <w:tcPr>
            <w:tcW w:w="721"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c>
          <w:tcPr>
            <w:tcW w:w="981" w:type="dxa"/>
            <w:tcBorders>
              <w:top w:val="single" w:sz="4" w:space="0" w:color="7F7F7F"/>
              <w:bottom w:val="single" w:sz="4" w:space="0" w:color="7F7F7F"/>
            </w:tcBorders>
            <w:shd w:val="clear" w:color="auto" w:fill="auto"/>
          </w:tcPr>
          <w:p w:rsidR="00AD331A" w:rsidRPr="00551F44" w:rsidRDefault="00AD331A" w:rsidP="006B5A34">
            <w:pPr>
              <w:spacing w:line="276" w:lineRule="auto"/>
              <w:jc w:val="both"/>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c>
          <w:tcPr>
            <w:tcW w:w="759"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c>
          <w:tcPr>
            <w:tcW w:w="743" w:type="dxa"/>
            <w:tcBorders>
              <w:top w:val="single" w:sz="4" w:space="0" w:color="7F7F7F"/>
              <w:bottom w:val="single" w:sz="4" w:space="0" w:color="7F7F7F"/>
            </w:tcBorders>
            <w:shd w:val="clear" w:color="auto" w:fill="auto"/>
          </w:tcPr>
          <w:p w:rsidR="00AD331A" w:rsidRPr="00551F44" w:rsidRDefault="00AD331A" w:rsidP="006B5A34">
            <w:pPr>
              <w:spacing w:line="276" w:lineRule="auto"/>
              <w:jc w:val="center"/>
              <w:rPr>
                <w:rFonts w:ascii="Calibri" w:eastAsia="Calibri" w:hAnsi="Calibri" w:cs="B Nazanin"/>
                <w:b/>
                <w:bCs/>
                <w:sz w:val="16"/>
                <w:szCs w:val="16"/>
                <w:rtl/>
              </w:rPr>
            </w:pPr>
            <w:r w:rsidRPr="00551F44">
              <w:rPr>
                <w:rFonts w:ascii="Calibri" w:eastAsia="Calibri" w:hAnsi="Calibri" w:cs="B Nazanin" w:hint="cs"/>
                <w:b/>
                <w:bCs/>
                <w:sz w:val="16"/>
                <w:szCs w:val="16"/>
                <w:rtl/>
              </w:rPr>
              <w:t>برازش مطلوب</w:t>
            </w:r>
          </w:p>
        </w:tc>
      </w:tr>
    </w:tbl>
    <w:p w:rsidR="00AD331A" w:rsidRPr="00551F44" w:rsidRDefault="00AD331A" w:rsidP="00AD331A">
      <w:pPr>
        <w:bidi/>
        <w:contextualSpacing/>
        <w:jc w:val="both"/>
        <w:rPr>
          <w:rFonts w:cs="B Nazanin"/>
          <w:sz w:val="24"/>
          <w:rtl/>
          <w:lang w:bidi="fa-IR"/>
        </w:rPr>
      </w:pPr>
      <w:r w:rsidRPr="00551F44">
        <w:rPr>
          <w:rFonts w:cs="B Nazanin" w:hint="cs"/>
          <w:sz w:val="24"/>
          <w:rtl/>
          <w:lang w:bidi="fa-IR"/>
        </w:rPr>
        <w:t>همانطور که در جدول شماره 8 مشاهده می شود در کل مدل تحقیق با توجه به شاخص های پرازش نیکویی مدل مناسبی را نشان می دهد. در  شکل شماره یک تاثیرات متغییرها بر موانع جذب خیرین در ورزش را نشان می دهد.</w:t>
      </w:r>
    </w:p>
    <w:p w:rsidR="00AD331A" w:rsidRPr="00B17EB0" w:rsidRDefault="00AD331A" w:rsidP="00AD331A">
      <w:pPr>
        <w:bidi/>
        <w:contextualSpacing/>
        <w:jc w:val="center"/>
        <w:rPr>
          <w:sz w:val="24"/>
          <w:rtl/>
          <w:lang w:bidi="fa-IR"/>
        </w:rPr>
      </w:pPr>
      <w:r>
        <w:rPr>
          <w:noProof/>
          <w:sz w:val="24"/>
        </w:rPr>
        <w:lastRenderedPageBreak/>
        <w:drawing>
          <wp:inline distT="0" distB="0" distL="0" distR="0" wp14:anchorId="0A33A587" wp14:editId="7A61F120">
            <wp:extent cx="4500245" cy="22821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0245" cy="2282190"/>
                    </a:xfrm>
                    <a:prstGeom prst="rect">
                      <a:avLst/>
                    </a:prstGeom>
                    <a:noFill/>
                    <a:ln>
                      <a:noFill/>
                    </a:ln>
                  </pic:spPr>
                </pic:pic>
              </a:graphicData>
            </a:graphic>
          </wp:inline>
        </w:drawing>
      </w:r>
    </w:p>
    <w:p w:rsidR="00AD331A" w:rsidRDefault="00AD331A" w:rsidP="00AD331A">
      <w:pPr>
        <w:autoSpaceDE w:val="0"/>
        <w:autoSpaceDN w:val="0"/>
        <w:bidi/>
        <w:adjustRightInd w:val="0"/>
        <w:jc w:val="center"/>
        <w:rPr>
          <w:sz w:val="20"/>
          <w:szCs w:val="20"/>
          <w:rtl/>
          <w:lang w:bidi="fa-IR"/>
        </w:rPr>
      </w:pPr>
      <w:r w:rsidRPr="00B17EB0">
        <w:rPr>
          <w:rFonts w:hint="cs"/>
          <w:sz w:val="20"/>
          <w:szCs w:val="20"/>
          <w:rtl/>
          <w:lang w:bidi="fa-IR"/>
        </w:rPr>
        <w:t>شکل شماره 1: مدل</w:t>
      </w:r>
    </w:p>
    <w:p w:rsidR="00AD331A" w:rsidRDefault="00AD331A" w:rsidP="00AD331A">
      <w:pPr>
        <w:autoSpaceDE w:val="0"/>
        <w:autoSpaceDN w:val="0"/>
        <w:bidi/>
        <w:adjustRightInd w:val="0"/>
        <w:jc w:val="both"/>
        <w:rPr>
          <w:rFonts w:ascii="Tahoma" w:cs="B Nazanin"/>
          <w:b/>
          <w:bCs/>
          <w:sz w:val="24"/>
          <w:rtl/>
        </w:rPr>
      </w:pPr>
      <w:r>
        <w:rPr>
          <w:rFonts w:ascii="Tahoma" w:cs="B Nazanin" w:hint="cs"/>
          <w:b/>
          <w:bCs/>
          <w:sz w:val="24"/>
          <w:rtl/>
        </w:rPr>
        <w:t>بحث و نتیجه گیری</w:t>
      </w:r>
    </w:p>
    <w:p w:rsidR="00AE43C3" w:rsidRPr="00AE43C3" w:rsidRDefault="00AE43C3" w:rsidP="00AE43C3">
      <w:pPr>
        <w:tabs>
          <w:tab w:val="left" w:pos="9360"/>
        </w:tabs>
        <w:bidi/>
        <w:spacing w:after="0"/>
        <w:ind w:hanging="2"/>
        <w:jc w:val="both"/>
        <w:rPr>
          <w:rFonts w:cs="B Nazanin"/>
          <w:sz w:val="24"/>
          <w:szCs w:val="24"/>
          <w:rtl/>
          <w:lang w:bidi="fa-IR"/>
        </w:rPr>
      </w:pPr>
      <w:r w:rsidRPr="00AE43C3">
        <w:rPr>
          <w:rFonts w:ascii="Arial" w:hAnsi="Arial" w:cs="B Nazanin" w:hint="cs"/>
          <w:sz w:val="24"/>
          <w:szCs w:val="24"/>
          <w:rtl/>
        </w:rPr>
        <w:t>با توجه به نتایج بدست آمده از پاسخ های آزمودنی</w:t>
      </w:r>
      <w:r w:rsidRPr="00AE43C3">
        <w:rPr>
          <w:rFonts w:ascii="Arial" w:hAnsi="Arial" w:cs="B Nazanin" w:hint="cs"/>
          <w:sz w:val="24"/>
          <w:szCs w:val="24"/>
          <w:rtl/>
        </w:rPr>
        <w:softHyphen/>
        <w:t>ها مشخص می</w:t>
      </w:r>
      <w:r w:rsidRPr="00AE43C3">
        <w:rPr>
          <w:rFonts w:ascii="Arial" w:hAnsi="Arial" w:cs="B Nazanin"/>
          <w:sz w:val="24"/>
          <w:szCs w:val="24"/>
          <w:rtl/>
        </w:rPr>
        <w:softHyphen/>
      </w:r>
      <w:r w:rsidRPr="00AE43C3">
        <w:rPr>
          <w:rFonts w:ascii="Arial" w:hAnsi="Arial" w:cs="B Nazanin" w:hint="cs"/>
          <w:sz w:val="24"/>
          <w:szCs w:val="24"/>
          <w:rtl/>
        </w:rPr>
        <w:t xml:space="preserve">شود که در بین </w:t>
      </w:r>
      <w:r>
        <w:rPr>
          <w:rFonts w:ascii="Arial" w:hAnsi="Arial" w:cs="B Nazanin" w:hint="cs"/>
          <w:sz w:val="24"/>
          <w:szCs w:val="24"/>
          <w:rtl/>
        </w:rPr>
        <w:t>موانع جذب خیرین</w:t>
      </w:r>
      <w:r w:rsidRPr="00AE43C3">
        <w:rPr>
          <w:rFonts w:ascii="Arial" w:hAnsi="Arial" w:cs="B Nazanin" w:hint="cs"/>
          <w:sz w:val="24"/>
          <w:szCs w:val="24"/>
          <w:rtl/>
        </w:rPr>
        <w:t xml:space="preserve"> </w:t>
      </w:r>
      <w:r>
        <w:rPr>
          <w:rFonts w:ascii="Arial" w:hAnsi="Arial" w:cs="B Nazanin" w:hint="cs"/>
          <w:sz w:val="24"/>
          <w:szCs w:val="24"/>
          <w:rtl/>
        </w:rPr>
        <w:t>موانع ساختاری و اداری مهم ترین عامل و موانع اقتصادی کم اهمیت ترین عامل شناسایی شدند</w:t>
      </w:r>
    </w:p>
    <w:p w:rsidR="00AE43C3" w:rsidRDefault="00AE43C3" w:rsidP="00AE43C3">
      <w:pPr>
        <w:tabs>
          <w:tab w:val="left" w:pos="9360"/>
        </w:tabs>
        <w:bidi/>
        <w:spacing w:after="0"/>
        <w:ind w:hanging="2"/>
        <w:jc w:val="both"/>
        <w:rPr>
          <w:rFonts w:cs="B Nazanin"/>
          <w:sz w:val="24"/>
          <w:szCs w:val="24"/>
          <w:rtl/>
          <w:lang w:bidi="fa-IR"/>
        </w:rPr>
      </w:pPr>
      <w:r w:rsidRPr="00AE43C3">
        <w:rPr>
          <w:rFonts w:cs="B Nazanin" w:hint="cs"/>
          <w:sz w:val="24"/>
          <w:szCs w:val="24"/>
          <w:rtl/>
          <w:lang w:bidi="fa-IR"/>
        </w:rPr>
        <w:t>بطور کلی می</w:t>
      </w:r>
      <w:r w:rsidRPr="00AE43C3">
        <w:rPr>
          <w:rFonts w:cs="B Nazanin" w:hint="cs"/>
          <w:sz w:val="24"/>
          <w:szCs w:val="24"/>
          <w:rtl/>
          <w:lang w:bidi="fa-IR"/>
        </w:rPr>
        <w:softHyphen/>
        <w:t xml:space="preserve">توان گفت </w:t>
      </w:r>
      <w:r>
        <w:rPr>
          <w:rFonts w:cs="B Nazanin" w:hint="cs"/>
          <w:sz w:val="24"/>
          <w:szCs w:val="24"/>
          <w:rtl/>
          <w:lang w:bidi="fa-IR"/>
        </w:rPr>
        <w:t>موسسات غیر انتفاعی و خیر</w:t>
      </w:r>
      <w:r w:rsidRPr="00AE43C3">
        <w:rPr>
          <w:rFonts w:cs="B Nazanin" w:hint="cs"/>
          <w:sz w:val="24"/>
          <w:szCs w:val="24"/>
          <w:rtl/>
          <w:lang w:bidi="fa-IR"/>
        </w:rPr>
        <w:t xml:space="preserve"> </w:t>
      </w:r>
      <w:r>
        <w:rPr>
          <w:rFonts w:cs="B Nazanin" w:hint="cs"/>
          <w:sz w:val="24"/>
          <w:szCs w:val="24"/>
          <w:rtl/>
          <w:lang w:bidi="fa-IR"/>
        </w:rPr>
        <w:t>،</w:t>
      </w:r>
      <w:r w:rsidRPr="00AE43C3">
        <w:rPr>
          <w:rFonts w:cs="B Nazanin" w:hint="cs"/>
          <w:sz w:val="24"/>
          <w:szCs w:val="24"/>
          <w:rtl/>
          <w:lang w:bidi="fa-IR"/>
        </w:rPr>
        <w:t xml:space="preserve"> انتقال وظایف به ارگان</w:t>
      </w:r>
      <w:r w:rsidRPr="00AE43C3">
        <w:rPr>
          <w:rFonts w:cs="B Nazanin" w:hint="cs"/>
          <w:sz w:val="24"/>
          <w:szCs w:val="24"/>
          <w:rtl/>
          <w:lang w:bidi="fa-IR"/>
        </w:rPr>
        <w:softHyphen/>
        <w:t>های غیردولتی و غیر انتفاعی فرایندی مؤثر در کاهش اندازه دولت است و بدین تر</w:t>
      </w:r>
      <w:r>
        <w:rPr>
          <w:rFonts w:cs="B Nazanin" w:hint="cs"/>
          <w:sz w:val="24"/>
          <w:szCs w:val="24"/>
          <w:rtl/>
          <w:lang w:bidi="fa-IR"/>
        </w:rPr>
        <w:t>تیب، یکی از هدف</w:t>
      </w:r>
      <w:r>
        <w:rPr>
          <w:rFonts w:cs="B Nazanin" w:hint="cs"/>
          <w:sz w:val="24"/>
          <w:szCs w:val="24"/>
          <w:rtl/>
          <w:lang w:bidi="fa-IR"/>
        </w:rPr>
        <w:softHyphen/>
      </w:r>
      <w:r>
        <w:rPr>
          <w:rFonts w:cs="B Nazanin" w:hint="cs"/>
          <w:sz w:val="24"/>
          <w:szCs w:val="24"/>
          <w:rtl/>
          <w:lang w:bidi="fa-IR"/>
        </w:rPr>
        <w:softHyphen/>
      </w:r>
      <w:r>
        <w:rPr>
          <w:rFonts w:cs="B Nazanin" w:hint="cs"/>
          <w:sz w:val="24"/>
          <w:szCs w:val="24"/>
          <w:rtl/>
          <w:lang w:bidi="fa-IR"/>
        </w:rPr>
        <w:softHyphen/>
      </w:r>
      <w:r>
        <w:rPr>
          <w:rFonts w:cs="B Nazanin" w:hint="cs"/>
          <w:sz w:val="24"/>
          <w:szCs w:val="24"/>
          <w:rtl/>
          <w:lang w:bidi="fa-IR"/>
        </w:rPr>
        <w:softHyphen/>
      </w:r>
      <w:r>
        <w:rPr>
          <w:rFonts w:cs="B Nazanin" w:hint="cs"/>
          <w:sz w:val="24"/>
          <w:szCs w:val="24"/>
          <w:rtl/>
          <w:lang w:bidi="fa-IR"/>
        </w:rPr>
        <w:softHyphen/>
      </w:r>
      <w:r>
        <w:rPr>
          <w:rFonts w:cs="B Nazanin" w:hint="cs"/>
          <w:sz w:val="24"/>
          <w:szCs w:val="24"/>
          <w:rtl/>
          <w:lang w:bidi="fa-IR"/>
        </w:rPr>
        <w:softHyphen/>
      </w:r>
      <w:r>
        <w:rPr>
          <w:rFonts w:cs="B Nazanin" w:hint="cs"/>
          <w:sz w:val="24"/>
          <w:szCs w:val="24"/>
          <w:rtl/>
          <w:lang w:bidi="fa-IR"/>
        </w:rPr>
        <w:softHyphen/>
        <w:t xml:space="preserve">ها </w:t>
      </w:r>
      <w:r w:rsidRPr="00AE43C3">
        <w:rPr>
          <w:rFonts w:cs="B Nazanin" w:hint="cs"/>
          <w:sz w:val="24"/>
          <w:szCs w:val="24"/>
          <w:rtl/>
          <w:lang w:bidi="fa-IR"/>
        </w:rPr>
        <w:t>در بلند مدت این است که دولت باید فقط به یک سلسله فعالیت</w:t>
      </w:r>
      <w:r w:rsidRPr="00AE43C3">
        <w:rPr>
          <w:rFonts w:cs="B Nazanin" w:hint="cs"/>
          <w:sz w:val="24"/>
          <w:szCs w:val="24"/>
          <w:rtl/>
          <w:lang w:bidi="fa-IR"/>
        </w:rPr>
        <w:softHyphen/>
        <w:t>های ضروری که انجام آنها جز با کمک دولت امکان پذیر نیست ، بپردازد و سایر فعالیت</w:t>
      </w:r>
      <w:r w:rsidRPr="00AE43C3">
        <w:rPr>
          <w:rFonts w:cs="B Nazanin" w:hint="cs"/>
          <w:sz w:val="24"/>
          <w:szCs w:val="24"/>
          <w:rtl/>
          <w:lang w:bidi="fa-IR"/>
        </w:rPr>
        <w:softHyphen/>
        <w:t xml:space="preserve">ها را به بخش خصوصی و غیردولتی واگذار کند.همانطور که اشاره شد مهمترین عامل مؤثر در </w:t>
      </w:r>
      <w:r>
        <w:rPr>
          <w:rFonts w:cs="B Nazanin" w:hint="cs"/>
          <w:sz w:val="24"/>
          <w:szCs w:val="24"/>
          <w:rtl/>
          <w:lang w:bidi="fa-IR"/>
        </w:rPr>
        <w:t>موانع ساختاری و اداری</w:t>
      </w:r>
      <w:r w:rsidRPr="00AE43C3">
        <w:rPr>
          <w:rFonts w:cs="B Nazanin" w:hint="cs"/>
          <w:sz w:val="24"/>
          <w:szCs w:val="24"/>
          <w:rtl/>
          <w:lang w:bidi="fa-IR"/>
        </w:rPr>
        <w:t xml:space="preserve"> است. به عبارت دیگر دولت می</w:t>
      </w:r>
      <w:r w:rsidRPr="00AE43C3">
        <w:rPr>
          <w:rFonts w:cs="B Nazanin" w:hint="cs"/>
          <w:sz w:val="24"/>
          <w:szCs w:val="24"/>
          <w:rtl/>
          <w:lang w:bidi="fa-IR"/>
        </w:rPr>
        <w:softHyphen/>
        <w:t xml:space="preserve">تواند با وضع قوانین حمایتی در مواقع لزوم و اجباری و دادن امتیازات ویژه به </w:t>
      </w:r>
      <w:r>
        <w:rPr>
          <w:rFonts w:cs="B Nazanin" w:hint="cs"/>
          <w:sz w:val="24"/>
          <w:szCs w:val="24"/>
          <w:rtl/>
          <w:lang w:bidi="fa-IR"/>
        </w:rPr>
        <w:t>خیرین</w:t>
      </w:r>
      <w:r w:rsidRPr="00AE43C3">
        <w:rPr>
          <w:rFonts w:cs="B Nazanin" w:hint="cs"/>
          <w:sz w:val="24"/>
          <w:szCs w:val="24"/>
          <w:rtl/>
          <w:lang w:bidi="fa-IR"/>
        </w:rPr>
        <w:t>،</w:t>
      </w:r>
      <w:r>
        <w:rPr>
          <w:rFonts w:cs="B Nazanin" w:hint="cs"/>
          <w:sz w:val="24"/>
          <w:szCs w:val="24"/>
          <w:rtl/>
          <w:lang w:bidi="fa-IR"/>
        </w:rPr>
        <w:t xml:space="preserve"> و همچنین اسان کردن روند اداری و فرایند های سازمانی، قدر شناسی و قدردانی از خیرین و همچنی </w:t>
      </w:r>
      <w:r w:rsidRPr="00AE43C3">
        <w:rPr>
          <w:rFonts w:cs="B Nazanin" w:hint="cs"/>
          <w:sz w:val="24"/>
          <w:szCs w:val="24"/>
          <w:rtl/>
          <w:lang w:bidi="fa-IR"/>
        </w:rPr>
        <w:t>فراهم کردن زمینه</w:t>
      </w:r>
      <w:r w:rsidRPr="00AE43C3">
        <w:rPr>
          <w:rFonts w:cs="B Nazanin" w:hint="cs"/>
          <w:sz w:val="24"/>
          <w:szCs w:val="24"/>
          <w:rtl/>
          <w:lang w:bidi="fa-IR"/>
        </w:rPr>
        <w:softHyphen/>
        <w:t>ها و فرصت</w:t>
      </w:r>
      <w:r w:rsidRPr="00AE43C3">
        <w:rPr>
          <w:rFonts w:cs="B Nazanin" w:hint="cs"/>
          <w:sz w:val="24"/>
          <w:szCs w:val="24"/>
          <w:rtl/>
          <w:lang w:bidi="fa-IR"/>
        </w:rPr>
        <w:softHyphen/>
        <w:t xml:space="preserve">های همکاری در بلند مدت بین دولت و پیشبرد فرایند خصوصی سازی ورزش </w:t>
      </w:r>
      <w:r>
        <w:rPr>
          <w:rFonts w:cs="B Nazanin" w:hint="cs"/>
          <w:sz w:val="24"/>
          <w:szCs w:val="24"/>
          <w:rtl/>
          <w:lang w:bidi="fa-IR"/>
        </w:rPr>
        <w:t>حضور موسسات غیر انتفاعی در ورزش</w:t>
      </w:r>
      <w:r w:rsidRPr="00AE43C3">
        <w:rPr>
          <w:rFonts w:cs="B Nazanin" w:hint="cs"/>
          <w:sz w:val="24"/>
          <w:szCs w:val="24"/>
          <w:rtl/>
          <w:lang w:bidi="fa-IR"/>
        </w:rPr>
        <w:t xml:space="preserve"> و پیشرفت ورزش کشور داشته باشد. </w:t>
      </w:r>
    </w:p>
    <w:p w:rsidR="00AE43C3" w:rsidRPr="00AE43C3" w:rsidRDefault="00AE43C3" w:rsidP="00AE43C3">
      <w:pPr>
        <w:tabs>
          <w:tab w:val="left" w:pos="9360"/>
        </w:tabs>
        <w:bidi/>
        <w:spacing w:after="0"/>
        <w:ind w:hanging="2"/>
        <w:jc w:val="both"/>
        <w:rPr>
          <w:rFonts w:ascii="Tahoma" w:cs="B Nazanin"/>
          <w:b/>
          <w:bCs/>
          <w:sz w:val="24"/>
          <w:rtl/>
        </w:rPr>
      </w:pPr>
      <w:r w:rsidRPr="00AE43C3">
        <w:rPr>
          <w:rFonts w:cs="B Nazanin" w:hint="cs"/>
          <w:b/>
          <w:bCs/>
          <w:sz w:val="24"/>
          <w:szCs w:val="24"/>
          <w:rtl/>
          <w:lang w:bidi="fa-IR"/>
        </w:rPr>
        <w:t>متابع:</w:t>
      </w:r>
    </w:p>
    <w:p w:rsidR="009376A4" w:rsidRPr="008C56B7" w:rsidRDefault="009376A4" w:rsidP="00293AD8">
      <w:pPr>
        <w:numPr>
          <w:ilvl w:val="0"/>
          <w:numId w:val="5"/>
        </w:numPr>
        <w:bidi/>
        <w:spacing w:after="0" w:line="240" w:lineRule="auto"/>
        <w:jc w:val="both"/>
        <w:rPr>
          <w:rFonts w:cs="B Lotus"/>
          <w:sz w:val="24"/>
          <w:szCs w:val="24"/>
          <w:rtl/>
          <w:lang w:bidi="fa-IR"/>
        </w:rPr>
      </w:pPr>
      <w:r w:rsidRPr="008C56B7">
        <w:rPr>
          <w:rFonts w:cs="B Lotus" w:hint="cs"/>
          <w:sz w:val="24"/>
          <w:szCs w:val="24"/>
          <w:rtl/>
          <w:lang w:bidi="fa-IR"/>
        </w:rPr>
        <w:t>کاشف، محمد،جعفری، علی محمد،احمدی،اژدر(1386) بررسی موانع و مشکلات موجود با اصل</w:t>
      </w:r>
      <w:r>
        <w:rPr>
          <w:rFonts w:cs="B Lotus" w:hint="cs"/>
          <w:sz w:val="24"/>
          <w:szCs w:val="24"/>
          <w:rtl/>
          <w:lang w:bidi="fa-IR"/>
        </w:rPr>
        <w:t xml:space="preserve"> </w:t>
      </w:r>
      <w:r w:rsidRPr="008C56B7">
        <w:rPr>
          <w:rFonts w:cs="B Lotus" w:hint="cs"/>
          <w:sz w:val="24"/>
          <w:szCs w:val="24"/>
          <w:rtl/>
          <w:lang w:bidi="fa-IR"/>
        </w:rPr>
        <w:t xml:space="preserve"> 44 قانون اساسی در ورزش از دیدگاه صاحبان</w:t>
      </w:r>
      <w:r>
        <w:rPr>
          <w:rFonts w:cs="B Lotus" w:hint="cs"/>
          <w:sz w:val="24"/>
          <w:szCs w:val="24"/>
          <w:rtl/>
          <w:lang w:bidi="fa-IR"/>
        </w:rPr>
        <w:t xml:space="preserve"> باشگاه های خصوی شهرستان اصفهان</w:t>
      </w:r>
    </w:p>
    <w:p w:rsidR="009376A4" w:rsidRDefault="009376A4" w:rsidP="00293AD8">
      <w:pPr>
        <w:numPr>
          <w:ilvl w:val="0"/>
          <w:numId w:val="5"/>
        </w:numPr>
        <w:bidi/>
        <w:spacing w:after="0" w:line="240" w:lineRule="auto"/>
        <w:jc w:val="both"/>
        <w:rPr>
          <w:rFonts w:cs="B Lotus" w:hint="cs"/>
          <w:sz w:val="24"/>
          <w:szCs w:val="24"/>
          <w:rtl/>
          <w:lang w:bidi="fa-IR"/>
        </w:rPr>
      </w:pPr>
      <w:r w:rsidRPr="008C56B7">
        <w:rPr>
          <w:rFonts w:cs="B Lotus" w:hint="cs"/>
          <w:sz w:val="24"/>
          <w:szCs w:val="24"/>
          <w:rtl/>
          <w:lang w:bidi="fa-IR"/>
        </w:rPr>
        <w:t>توکلی، سعید، رضوی، محمد حسین(1388) مقایسه دیدگاه مدیران دولتی و غیر دولتی در زمینه</w:t>
      </w:r>
      <w:r>
        <w:rPr>
          <w:rFonts w:cs="B Lotus" w:hint="cs"/>
          <w:sz w:val="24"/>
          <w:szCs w:val="24"/>
          <w:rtl/>
          <w:lang w:bidi="fa-IR"/>
        </w:rPr>
        <w:t xml:space="preserve"> </w:t>
      </w:r>
      <w:r w:rsidRPr="008C56B7">
        <w:rPr>
          <w:rFonts w:cs="B Lotus" w:hint="cs"/>
          <w:sz w:val="24"/>
          <w:szCs w:val="24"/>
          <w:rtl/>
          <w:lang w:bidi="fa-IR"/>
        </w:rPr>
        <w:t>موانع خصوصی سازی ورزش در استان قم " دانشکده تربیت بدنی ، دانشگاه شمال (1386)</w:t>
      </w:r>
      <w:r w:rsidR="00ED1FE1">
        <w:rPr>
          <w:rFonts w:cs="B Lotus" w:hint="cs"/>
          <w:sz w:val="24"/>
          <w:szCs w:val="24"/>
          <w:rtl/>
          <w:lang w:bidi="fa-IR"/>
        </w:rPr>
        <w:t>.</w:t>
      </w:r>
    </w:p>
    <w:p w:rsidR="009376A4" w:rsidRDefault="00ED1FE1" w:rsidP="00293AD8">
      <w:pPr>
        <w:numPr>
          <w:ilvl w:val="0"/>
          <w:numId w:val="5"/>
        </w:numPr>
        <w:bidi/>
        <w:spacing w:after="0" w:line="240" w:lineRule="auto"/>
        <w:jc w:val="both"/>
        <w:rPr>
          <w:rFonts w:cs="B Lotus"/>
          <w:sz w:val="24"/>
          <w:szCs w:val="24"/>
          <w:rtl/>
          <w:lang w:bidi="fa-IR"/>
        </w:rPr>
      </w:pPr>
      <w:r>
        <w:rPr>
          <w:rFonts w:cs="B Lotus" w:hint="cs"/>
          <w:sz w:val="24"/>
          <w:szCs w:val="24"/>
          <w:rtl/>
          <w:lang w:bidi="fa-IR"/>
        </w:rPr>
        <w:t>ونوس، داور، روستا، احمد، ابراهمیف عبدالحمید(1388)</w:t>
      </w:r>
      <w:r w:rsidR="009376A4" w:rsidRPr="008C56B7">
        <w:rPr>
          <w:rFonts w:cs="B Lotus" w:hint="cs"/>
          <w:sz w:val="24"/>
          <w:szCs w:val="24"/>
          <w:rtl/>
          <w:lang w:bidi="fa-IR"/>
        </w:rPr>
        <w:t xml:space="preserve"> </w:t>
      </w:r>
      <w:r w:rsidR="000261E5">
        <w:rPr>
          <w:rFonts w:cs="B Lotus" w:hint="cs"/>
          <w:sz w:val="24"/>
          <w:szCs w:val="24"/>
          <w:rtl/>
          <w:lang w:bidi="fa-IR"/>
        </w:rPr>
        <w:t>مدیریت بازاریابی، چاپ 13، تهرانف سمت</w:t>
      </w:r>
    </w:p>
    <w:p w:rsidR="00293AD8" w:rsidRPr="00FB7C07" w:rsidRDefault="00293AD8" w:rsidP="00293AD8">
      <w:pPr>
        <w:numPr>
          <w:ilvl w:val="0"/>
          <w:numId w:val="5"/>
        </w:numPr>
        <w:autoSpaceDE w:val="0"/>
        <w:autoSpaceDN w:val="0"/>
        <w:adjustRightInd w:val="0"/>
        <w:rPr>
          <w:rFonts w:ascii="TimesNewRoman" w:hAnsi="TimesNewRoman" w:cs="TimesNewRoman"/>
          <w:sz w:val="20"/>
          <w:szCs w:val="20"/>
        </w:rPr>
      </w:pPr>
      <w:proofErr w:type="spellStart"/>
      <w:r>
        <w:rPr>
          <w:rFonts w:ascii="TimesNewRoman" w:hAnsi="TimesNewRoman" w:cs="TimesNewRoman"/>
          <w:sz w:val="20"/>
          <w:szCs w:val="20"/>
        </w:rPr>
        <w:t>Seearam</w:t>
      </w:r>
      <w:proofErr w:type="spellEnd"/>
      <w:r>
        <w:rPr>
          <w:rFonts w:ascii="TimesNewRoman" w:hAnsi="TimesNewRoman" w:cs="TimesNewRoman"/>
          <w:sz w:val="20"/>
          <w:szCs w:val="20"/>
        </w:rPr>
        <w:t xml:space="preserve">, Burt. (2012). </w:t>
      </w:r>
      <w:proofErr w:type="spellStart"/>
      <w:r>
        <w:rPr>
          <w:rFonts w:ascii="TimesNewRoman,Italic" w:hAnsi="TimesNewRoman,Italic" w:cs="TimesNewRoman,Italic"/>
          <w:i/>
          <w:iCs/>
          <w:sz w:val="20"/>
          <w:szCs w:val="20"/>
        </w:rPr>
        <w:t>Non profit</w:t>
      </w:r>
      <w:proofErr w:type="spellEnd"/>
      <w:r>
        <w:rPr>
          <w:rFonts w:ascii="TimesNewRoman,Italic" w:hAnsi="TimesNewRoman,Italic" w:cs="TimesNewRoman,Italic"/>
          <w:i/>
          <w:iCs/>
          <w:sz w:val="20"/>
          <w:szCs w:val="20"/>
        </w:rPr>
        <w:t xml:space="preserve"> marketing strategies</w:t>
      </w:r>
      <w:r>
        <w:rPr>
          <w:rFonts w:ascii="TimesNewRoman" w:hAnsi="TimesNewRoman" w:cs="TimesNewRoman"/>
          <w:sz w:val="20"/>
          <w:szCs w:val="20"/>
        </w:rPr>
        <w:t>. (MA of dissertation),</w:t>
      </w:r>
      <w:r>
        <w:rPr>
          <w:rFonts w:ascii="TimesNewRoman" w:hAnsi="TimesNewRoman" w:cs="TimesNewRoman" w:hint="cs"/>
          <w:sz w:val="20"/>
          <w:szCs w:val="20"/>
          <w:rtl/>
        </w:rPr>
        <w:t xml:space="preserve"> </w:t>
      </w:r>
      <w:r>
        <w:rPr>
          <w:rFonts w:ascii="TimesNewRoman" w:hAnsi="TimesNewRoman" w:cs="TimesNewRoman"/>
          <w:sz w:val="20"/>
          <w:szCs w:val="20"/>
        </w:rPr>
        <w:t>Central Florida, USA</w:t>
      </w:r>
    </w:p>
    <w:p w:rsidR="00293AD8" w:rsidRPr="008C56B7" w:rsidRDefault="00293AD8" w:rsidP="00ED1FE1">
      <w:pPr>
        <w:jc w:val="right"/>
        <w:rPr>
          <w:rFonts w:cs="B Lotus"/>
          <w:sz w:val="24"/>
          <w:szCs w:val="24"/>
          <w:rtl/>
          <w:lang w:bidi="fa-IR"/>
        </w:rPr>
      </w:pPr>
    </w:p>
    <w:p w:rsidR="009376A4" w:rsidRPr="008C56B7" w:rsidRDefault="009376A4" w:rsidP="009376A4">
      <w:pPr>
        <w:jc w:val="right"/>
        <w:rPr>
          <w:rFonts w:cs="B Lotus"/>
          <w:sz w:val="24"/>
          <w:szCs w:val="24"/>
          <w:rtl/>
          <w:lang w:bidi="fa-IR"/>
        </w:rPr>
      </w:pPr>
    </w:p>
    <w:p w:rsidR="00AD331A" w:rsidRDefault="00AD331A" w:rsidP="00AD331A">
      <w:pPr>
        <w:bidi/>
        <w:jc w:val="both"/>
      </w:pPr>
    </w:p>
    <w:sectPr w:rsidR="00AD3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nonymous-2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914F7"/>
    <w:multiLevelType w:val="hybridMultilevel"/>
    <w:tmpl w:val="0FC65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5F3F35"/>
    <w:multiLevelType w:val="hybridMultilevel"/>
    <w:tmpl w:val="387410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003EAF"/>
    <w:multiLevelType w:val="hybridMultilevel"/>
    <w:tmpl w:val="24D8D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C76620"/>
    <w:multiLevelType w:val="hybridMultilevel"/>
    <w:tmpl w:val="71926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3631BB"/>
    <w:multiLevelType w:val="hybridMultilevel"/>
    <w:tmpl w:val="F9FA9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31A"/>
    <w:rsid w:val="000261E5"/>
    <w:rsid w:val="000A41BB"/>
    <w:rsid w:val="00293AD8"/>
    <w:rsid w:val="00616163"/>
    <w:rsid w:val="009376A4"/>
    <w:rsid w:val="00AD331A"/>
    <w:rsid w:val="00AE43C3"/>
    <w:rsid w:val="00B57691"/>
    <w:rsid w:val="00ED1FE1"/>
    <w:rsid w:val="00F949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E70679-8DBB-4040-B9B0-B8F3B1F1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3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9090</dc:creator>
  <cp:keywords/>
  <dc:description/>
  <cp:lastModifiedBy>9090</cp:lastModifiedBy>
  <cp:revision>7</cp:revision>
  <dcterms:created xsi:type="dcterms:W3CDTF">2016-12-06T08:49:00Z</dcterms:created>
  <dcterms:modified xsi:type="dcterms:W3CDTF">2016-12-06T10:06:00Z</dcterms:modified>
</cp:coreProperties>
</file>